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eastAsia="仿宋_GB2312"/>
          <w:sz w:val="32"/>
          <w:szCs w:val="32"/>
        </w:rPr>
      </w:pPr>
      <w:bookmarkStart w:id="2" w:name="_GoBack"/>
      <w:bookmarkEnd w:id="2"/>
      <w:bookmarkStart w:id="0" w:name="_Toc478809030"/>
      <w:r>
        <w:rPr>
          <w:rFonts w:eastAsia="仿宋_GB2312"/>
          <w:sz w:val="32"/>
          <w:szCs w:val="32"/>
        </w:rPr>
        <w:t>附件</w:t>
      </w:r>
      <w:bookmarkStart w:id="1" w:name="_Toc474765804"/>
      <w:r>
        <w:rPr>
          <w:rFonts w:hint="eastAsia" w:eastAsia="仿宋_GB2312"/>
          <w:sz w:val="32"/>
          <w:szCs w:val="32"/>
          <w:lang w:val="en-US" w:eastAsia="zh-CN"/>
        </w:rPr>
        <w:t>5</w:t>
      </w:r>
    </w:p>
    <w:p>
      <w:pPr>
        <w:spacing w:line="700" w:lineRule="exact"/>
        <w:jc w:val="center"/>
        <w:rPr>
          <w:rFonts w:eastAsia="方正小标宋简体"/>
          <w:bCs/>
          <w:color w:val="000000"/>
          <w:kern w:val="0"/>
          <w:sz w:val="44"/>
          <w:szCs w:val="44"/>
        </w:rPr>
      </w:pPr>
      <w:r>
        <w:rPr>
          <w:rFonts w:eastAsia="方正小标宋简体"/>
          <w:bCs/>
          <w:color w:val="000000"/>
          <w:kern w:val="0"/>
          <w:sz w:val="44"/>
          <w:szCs w:val="44"/>
        </w:rPr>
        <w:t>用人单位职业健康管理措施自查表</w:t>
      </w:r>
      <w:bookmarkEnd w:id="0"/>
      <w:bookmarkEnd w:id="1"/>
    </w:p>
    <w:p>
      <w:pPr>
        <w:adjustRightInd w:val="0"/>
        <w:snapToGrid w:val="0"/>
        <w:spacing w:line="0" w:lineRule="atLeast"/>
        <w:jc w:val="left"/>
        <w:rPr>
          <w:color w:val="000000"/>
          <w:szCs w:val="22"/>
        </w:rPr>
      </w:pP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369"/>
        <w:gridCol w:w="1230"/>
        <w:gridCol w:w="5936"/>
        <w:gridCol w:w="1021"/>
        <w:gridCol w:w="1159"/>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tblHeader/>
        </w:trPr>
        <w:tc>
          <w:tcPr>
            <w:tcW w:w="842" w:type="dxa"/>
            <w:vAlign w:val="center"/>
          </w:tcPr>
          <w:p>
            <w:pPr>
              <w:adjustRightInd w:val="0"/>
              <w:snapToGrid w:val="0"/>
              <w:spacing w:line="0" w:lineRule="atLeast"/>
              <w:jc w:val="center"/>
              <w:rPr>
                <w:rFonts w:hint="eastAsia" w:ascii="宋体" w:hAnsi="宋体" w:cs="宋体"/>
                <w:b/>
                <w:color w:val="000000"/>
                <w:szCs w:val="22"/>
              </w:rPr>
            </w:pPr>
            <w:r>
              <w:rPr>
                <w:rFonts w:hint="eastAsia" w:ascii="宋体" w:hAnsi="宋体" w:cs="宋体"/>
                <w:b/>
                <w:color w:val="000000"/>
                <w:szCs w:val="22"/>
              </w:rPr>
              <w:t>序号</w:t>
            </w:r>
          </w:p>
        </w:tc>
        <w:tc>
          <w:tcPr>
            <w:tcW w:w="8535" w:type="dxa"/>
            <w:gridSpan w:val="3"/>
            <w:vAlign w:val="center"/>
          </w:tcPr>
          <w:p>
            <w:pPr>
              <w:adjustRightInd w:val="0"/>
              <w:snapToGrid w:val="0"/>
              <w:spacing w:line="0" w:lineRule="atLeast"/>
              <w:jc w:val="center"/>
              <w:rPr>
                <w:rFonts w:hint="eastAsia" w:ascii="宋体" w:hAnsi="宋体" w:cs="宋体"/>
                <w:b/>
                <w:color w:val="000000"/>
                <w:szCs w:val="22"/>
              </w:rPr>
            </w:pPr>
            <w:r>
              <w:rPr>
                <w:rFonts w:hint="eastAsia" w:ascii="宋体" w:hAnsi="宋体" w:cs="宋体"/>
                <w:b/>
                <w:color w:val="000000"/>
                <w:szCs w:val="22"/>
              </w:rPr>
              <w:t>检查内容</w:t>
            </w:r>
          </w:p>
        </w:tc>
        <w:tc>
          <w:tcPr>
            <w:tcW w:w="2180" w:type="dxa"/>
            <w:gridSpan w:val="2"/>
            <w:vAlign w:val="center"/>
          </w:tcPr>
          <w:p>
            <w:pPr>
              <w:adjustRightInd w:val="0"/>
              <w:snapToGrid w:val="0"/>
              <w:spacing w:line="0" w:lineRule="atLeast"/>
              <w:jc w:val="center"/>
              <w:rPr>
                <w:rFonts w:hint="eastAsia" w:ascii="宋体" w:hAnsi="宋体" w:cs="宋体"/>
                <w:b/>
                <w:color w:val="000000"/>
                <w:szCs w:val="22"/>
              </w:rPr>
            </w:pPr>
            <w:r>
              <w:rPr>
                <w:rFonts w:hint="eastAsia" w:ascii="宋体" w:hAnsi="宋体" w:cs="宋体"/>
                <w:b/>
                <w:color w:val="000000"/>
                <w:szCs w:val="22"/>
              </w:rPr>
              <w:t>结果判定</w:t>
            </w:r>
          </w:p>
        </w:tc>
        <w:tc>
          <w:tcPr>
            <w:tcW w:w="2617" w:type="dxa"/>
            <w:vAlign w:val="center"/>
          </w:tcPr>
          <w:p>
            <w:pPr>
              <w:adjustRightInd w:val="0"/>
              <w:snapToGrid w:val="0"/>
              <w:spacing w:line="0" w:lineRule="atLeast"/>
              <w:jc w:val="center"/>
              <w:rPr>
                <w:rFonts w:hint="eastAsia" w:ascii="宋体" w:hAnsi="宋体" w:cs="宋体"/>
                <w:b/>
                <w:color w:val="000000"/>
                <w:szCs w:val="22"/>
              </w:rPr>
            </w:pPr>
            <w:r>
              <w:rPr>
                <w:rFonts w:hint="eastAsia" w:ascii="宋体" w:hAnsi="宋体" w:cs="宋体"/>
                <w:b/>
                <w:color w:val="000000"/>
                <w:szCs w:val="22"/>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842"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1</w:t>
            </w:r>
          </w:p>
        </w:tc>
        <w:tc>
          <w:tcPr>
            <w:tcW w:w="1369"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职业健康管理机构和</w:t>
            </w:r>
          </w:p>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管理人员</w:t>
            </w: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设置或者指定职业健康管理机构或者组织，负责本单位的职业病防治工作。</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restart"/>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9"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配备专职或兼职职业健康管理人员（职业病危害严重的企业应当配备专职职业健康管理人员，其他存在职业病危害的生产企业，劳动者超过100人的，应当配备专职职业健康管理人员，劳动者在100人以下的，应当配备专职或者兼职的职业健康管理人员）。</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left"/>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842"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2</w:t>
            </w:r>
          </w:p>
        </w:tc>
        <w:tc>
          <w:tcPr>
            <w:tcW w:w="1369"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规章制度及岗位规程</w:t>
            </w: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建立有健全的职业病危害防治相关规章制度。</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restart"/>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接触粉尘、化学毒物的岗位制定有岗位操作规程。</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trPr>
        <w:tc>
          <w:tcPr>
            <w:tcW w:w="842"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3</w:t>
            </w:r>
          </w:p>
        </w:tc>
        <w:tc>
          <w:tcPr>
            <w:tcW w:w="1369"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主要负责人培训情况</w:t>
            </w: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参加人员为企业主要负责人。</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restart"/>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参加的培训为专门职业健康培训，或所参加的培训包含职业健康内容。</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培训合格证书或其他有效证明材料。</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有□</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无□</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培训合格证书或其他证明材料在有效期之内。</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842"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4</w:t>
            </w:r>
          </w:p>
        </w:tc>
        <w:tc>
          <w:tcPr>
            <w:tcW w:w="1369"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职业健康管理人员培训情况</w:t>
            </w: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参加人员为在职的职业健康管理人员。</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restart"/>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842" w:type="dxa"/>
            <w:vMerge w:val="continue"/>
            <w:vAlign w:val="center"/>
          </w:tcPr>
          <w:p>
            <w:pPr>
              <w:adjustRightInd w:val="0"/>
              <w:snapToGrid w:val="0"/>
              <w:spacing w:line="0" w:lineRule="atLeast"/>
              <w:rPr>
                <w:rFonts w:hint="eastAsia" w:ascii="宋体" w:hAnsi="宋体" w:cs="宋体"/>
                <w:color w:val="000000"/>
                <w:szCs w:val="22"/>
              </w:rPr>
            </w:pPr>
          </w:p>
        </w:tc>
        <w:tc>
          <w:tcPr>
            <w:tcW w:w="1369" w:type="dxa"/>
            <w:vMerge w:val="continue"/>
            <w:vAlign w:val="center"/>
          </w:tcPr>
          <w:p>
            <w:pPr>
              <w:adjustRightInd w:val="0"/>
              <w:snapToGrid w:val="0"/>
              <w:spacing w:line="0" w:lineRule="atLeast"/>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参加的培训为专门职业健康培训，或所参加的培训包含职业健康内容。</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842" w:type="dxa"/>
            <w:vMerge w:val="continue"/>
            <w:vAlign w:val="center"/>
          </w:tcPr>
          <w:p>
            <w:pPr>
              <w:adjustRightInd w:val="0"/>
              <w:snapToGrid w:val="0"/>
              <w:spacing w:line="0" w:lineRule="atLeast"/>
              <w:rPr>
                <w:rFonts w:hint="eastAsia" w:ascii="宋体" w:hAnsi="宋体" w:cs="宋体"/>
                <w:color w:val="000000"/>
                <w:szCs w:val="22"/>
              </w:rPr>
            </w:pPr>
          </w:p>
        </w:tc>
        <w:tc>
          <w:tcPr>
            <w:tcW w:w="1369" w:type="dxa"/>
            <w:vMerge w:val="continue"/>
            <w:vAlign w:val="center"/>
          </w:tcPr>
          <w:p>
            <w:pPr>
              <w:adjustRightInd w:val="0"/>
              <w:snapToGrid w:val="0"/>
              <w:spacing w:line="0" w:lineRule="atLeast"/>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培训合格证书或其他有效证明材料。</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有□</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无□</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trPr>
        <w:tc>
          <w:tcPr>
            <w:tcW w:w="842" w:type="dxa"/>
            <w:vMerge w:val="continue"/>
            <w:vAlign w:val="center"/>
          </w:tcPr>
          <w:p>
            <w:pPr>
              <w:adjustRightInd w:val="0"/>
              <w:snapToGrid w:val="0"/>
              <w:spacing w:line="0" w:lineRule="atLeast"/>
              <w:rPr>
                <w:rFonts w:hint="eastAsia" w:ascii="宋体" w:hAnsi="宋体" w:cs="宋体"/>
                <w:color w:val="000000"/>
                <w:szCs w:val="22"/>
              </w:rPr>
            </w:pPr>
          </w:p>
        </w:tc>
        <w:tc>
          <w:tcPr>
            <w:tcW w:w="1369" w:type="dxa"/>
            <w:vMerge w:val="continue"/>
            <w:vAlign w:val="center"/>
          </w:tcPr>
          <w:p>
            <w:pPr>
              <w:adjustRightInd w:val="0"/>
              <w:snapToGrid w:val="0"/>
              <w:spacing w:line="0" w:lineRule="atLeast"/>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培训合格证书或其他证明材料在有效期之内。</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842"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5</w:t>
            </w:r>
          </w:p>
        </w:tc>
        <w:tc>
          <w:tcPr>
            <w:tcW w:w="1369"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劳动者职业健康培训</w:t>
            </w:r>
          </w:p>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情况</w:t>
            </w:r>
          </w:p>
        </w:tc>
        <w:tc>
          <w:tcPr>
            <w:tcW w:w="1230"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培训材料</w:t>
            </w:r>
          </w:p>
        </w:tc>
        <w:tc>
          <w:tcPr>
            <w:tcW w:w="5936" w:type="dxa"/>
            <w:vAlign w:val="center"/>
          </w:tcPr>
          <w:p>
            <w:pPr>
              <w:adjustRightInd w:val="0"/>
              <w:snapToGrid w:val="0"/>
              <w:spacing w:line="0" w:lineRule="atLeast"/>
              <w:jc w:val="left"/>
              <w:rPr>
                <w:rFonts w:hint="eastAsia" w:ascii="宋体" w:hAnsi="宋体" w:cs="宋体"/>
                <w:color w:val="000000"/>
                <w:szCs w:val="22"/>
              </w:rPr>
            </w:pPr>
            <w:r>
              <w:rPr>
                <w:rFonts w:hint="eastAsia" w:ascii="宋体" w:hAnsi="宋体" w:cs="宋体"/>
                <w:color w:val="000000"/>
                <w:szCs w:val="22"/>
              </w:rPr>
              <w:t>有完整的培训签到表（签到表中应当包含所有接触粉尘、化学毒物等职业病危害的劳动者）。</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有□</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无□</w:t>
            </w:r>
          </w:p>
        </w:tc>
        <w:tc>
          <w:tcPr>
            <w:tcW w:w="2617" w:type="dxa"/>
            <w:vMerge w:val="restart"/>
            <w:vAlign w:val="center"/>
          </w:tcPr>
          <w:p>
            <w:pPr>
              <w:spacing w:line="0" w:lineRule="atLeast"/>
              <w:rPr>
                <w:rFonts w:hint="eastAsia" w:ascii="宋体" w:hAnsi="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842" w:type="dxa"/>
            <w:vMerge w:val="continue"/>
            <w:vAlign w:val="center"/>
          </w:tcPr>
          <w:p>
            <w:pPr>
              <w:adjustRightInd w:val="0"/>
              <w:snapToGrid w:val="0"/>
              <w:spacing w:line="0" w:lineRule="atLeast"/>
              <w:rPr>
                <w:rFonts w:hint="eastAsia" w:ascii="宋体" w:hAnsi="宋体" w:cs="宋体"/>
                <w:color w:val="000000"/>
                <w:szCs w:val="22"/>
              </w:rPr>
            </w:pPr>
          </w:p>
        </w:tc>
        <w:tc>
          <w:tcPr>
            <w:tcW w:w="1369" w:type="dxa"/>
            <w:vMerge w:val="continue"/>
            <w:vAlign w:val="center"/>
          </w:tcPr>
          <w:p>
            <w:pPr>
              <w:adjustRightInd w:val="0"/>
              <w:snapToGrid w:val="0"/>
              <w:spacing w:line="0" w:lineRule="atLeast"/>
              <w:rPr>
                <w:rFonts w:hint="eastAsia" w:ascii="宋体" w:hAnsi="宋体" w:cs="宋体"/>
                <w:color w:val="000000"/>
                <w:szCs w:val="22"/>
              </w:rPr>
            </w:pPr>
          </w:p>
        </w:tc>
        <w:tc>
          <w:tcPr>
            <w:tcW w:w="1230"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5936" w:type="dxa"/>
            <w:vAlign w:val="center"/>
          </w:tcPr>
          <w:p>
            <w:pPr>
              <w:adjustRightInd w:val="0"/>
              <w:snapToGrid w:val="0"/>
              <w:spacing w:line="0" w:lineRule="atLeast"/>
              <w:jc w:val="left"/>
              <w:rPr>
                <w:rFonts w:hint="eastAsia" w:ascii="宋体" w:hAnsi="宋体" w:cs="宋体"/>
                <w:color w:val="000000"/>
                <w:szCs w:val="22"/>
              </w:rPr>
            </w:pPr>
            <w:r>
              <w:rPr>
                <w:rFonts w:hint="eastAsia" w:ascii="宋体" w:hAnsi="宋体" w:cs="宋体"/>
                <w:color w:val="000000"/>
                <w:szCs w:val="22"/>
              </w:rPr>
              <w:t>有完整的培训记录（培训记录应当包括时间、地点、参加培训人数以及反映详细培训内容的材料）。</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有□</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无□</w:t>
            </w:r>
          </w:p>
        </w:tc>
        <w:tc>
          <w:tcPr>
            <w:tcW w:w="2617" w:type="dxa"/>
            <w:vMerge w:val="continue"/>
            <w:vAlign w:val="center"/>
          </w:tcPr>
          <w:p>
            <w:pPr>
              <w:spacing w:line="0" w:lineRule="atLeast"/>
              <w:rPr>
                <w:rFonts w:hint="eastAsia" w:ascii="宋体" w:hAnsi="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trPr>
        <w:tc>
          <w:tcPr>
            <w:tcW w:w="842" w:type="dxa"/>
            <w:vMerge w:val="continue"/>
            <w:vAlign w:val="center"/>
          </w:tcPr>
          <w:p>
            <w:pPr>
              <w:adjustRightInd w:val="0"/>
              <w:snapToGrid w:val="0"/>
              <w:spacing w:line="0" w:lineRule="atLeast"/>
              <w:rPr>
                <w:rFonts w:hint="eastAsia" w:ascii="宋体" w:hAnsi="宋体" w:cs="宋体"/>
                <w:color w:val="000000"/>
                <w:szCs w:val="22"/>
              </w:rPr>
            </w:pPr>
          </w:p>
        </w:tc>
        <w:tc>
          <w:tcPr>
            <w:tcW w:w="1369" w:type="dxa"/>
            <w:vMerge w:val="continue"/>
            <w:vAlign w:val="center"/>
          </w:tcPr>
          <w:p>
            <w:pPr>
              <w:adjustRightInd w:val="0"/>
              <w:snapToGrid w:val="0"/>
              <w:spacing w:line="0" w:lineRule="atLeast"/>
              <w:rPr>
                <w:rFonts w:hint="eastAsia" w:ascii="宋体" w:hAnsi="宋体" w:cs="宋体"/>
                <w:color w:val="000000"/>
                <w:szCs w:val="22"/>
              </w:rPr>
            </w:pPr>
          </w:p>
        </w:tc>
        <w:tc>
          <w:tcPr>
            <w:tcW w:w="1230"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培训内容</w:t>
            </w:r>
          </w:p>
        </w:tc>
        <w:tc>
          <w:tcPr>
            <w:tcW w:w="5936" w:type="dxa"/>
            <w:vAlign w:val="center"/>
          </w:tcPr>
          <w:p>
            <w:pPr>
              <w:adjustRightInd w:val="0"/>
              <w:snapToGrid w:val="0"/>
              <w:spacing w:line="0" w:lineRule="atLeast"/>
              <w:jc w:val="left"/>
              <w:rPr>
                <w:rFonts w:hint="eastAsia" w:ascii="宋体" w:hAnsi="宋体" w:cs="宋体"/>
                <w:color w:val="000000"/>
                <w:szCs w:val="22"/>
              </w:rPr>
            </w:pPr>
            <w:r>
              <w:rPr>
                <w:rFonts w:hint="eastAsia" w:ascii="宋体" w:hAnsi="宋体" w:cs="宋体"/>
                <w:color w:val="000000"/>
                <w:szCs w:val="22"/>
              </w:rPr>
              <w:t>有劳动者日常接触的职业病危害因素。</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有□</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无□</w:t>
            </w:r>
          </w:p>
        </w:tc>
        <w:tc>
          <w:tcPr>
            <w:tcW w:w="2617" w:type="dxa"/>
            <w:vMerge w:val="continue"/>
            <w:vAlign w:val="center"/>
          </w:tcPr>
          <w:p>
            <w:pPr>
              <w:spacing w:line="0" w:lineRule="atLeast"/>
              <w:rPr>
                <w:rFonts w:hint="eastAsia" w:ascii="宋体" w:hAnsi="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842" w:type="dxa"/>
            <w:vMerge w:val="continue"/>
            <w:vAlign w:val="center"/>
          </w:tcPr>
          <w:p>
            <w:pPr>
              <w:adjustRightInd w:val="0"/>
              <w:snapToGrid w:val="0"/>
              <w:spacing w:line="0" w:lineRule="atLeast"/>
              <w:rPr>
                <w:rFonts w:hint="eastAsia" w:ascii="宋体" w:hAnsi="宋体" w:cs="宋体"/>
                <w:color w:val="000000"/>
                <w:szCs w:val="22"/>
              </w:rPr>
            </w:pPr>
          </w:p>
        </w:tc>
        <w:tc>
          <w:tcPr>
            <w:tcW w:w="1369" w:type="dxa"/>
            <w:vMerge w:val="continue"/>
            <w:vAlign w:val="center"/>
          </w:tcPr>
          <w:p>
            <w:pPr>
              <w:adjustRightInd w:val="0"/>
              <w:snapToGrid w:val="0"/>
              <w:spacing w:line="0" w:lineRule="atLeast"/>
              <w:rPr>
                <w:rFonts w:hint="eastAsia" w:ascii="宋体" w:hAnsi="宋体" w:cs="宋体"/>
                <w:color w:val="000000"/>
                <w:szCs w:val="22"/>
              </w:rPr>
            </w:pPr>
          </w:p>
        </w:tc>
        <w:tc>
          <w:tcPr>
            <w:tcW w:w="1230" w:type="dxa"/>
            <w:vMerge w:val="continue"/>
            <w:vAlign w:val="center"/>
          </w:tcPr>
          <w:p>
            <w:pPr>
              <w:adjustRightInd w:val="0"/>
              <w:snapToGrid w:val="0"/>
              <w:spacing w:line="0" w:lineRule="atLeast"/>
              <w:rPr>
                <w:rFonts w:hint="eastAsia" w:ascii="宋体" w:hAnsi="宋体" w:cs="宋体"/>
                <w:color w:val="000000"/>
                <w:szCs w:val="22"/>
              </w:rPr>
            </w:pPr>
          </w:p>
        </w:tc>
        <w:tc>
          <w:tcPr>
            <w:tcW w:w="5936" w:type="dxa"/>
            <w:vAlign w:val="center"/>
          </w:tcPr>
          <w:p>
            <w:pPr>
              <w:adjustRightInd w:val="0"/>
              <w:snapToGrid w:val="0"/>
              <w:spacing w:line="0" w:lineRule="atLeast"/>
              <w:jc w:val="left"/>
              <w:rPr>
                <w:rFonts w:hint="eastAsia" w:ascii="宋体" w:hAnsi="宋体" w:cs="宋体"/>
                <w:color w:val="000000"/>
                <w:szCs w:val="22"/>
              </w:rPr>
            </w:pPr>
            <w:r>
              <w:rPr>
                <w:rFonts w:hint="eastAsia" w:ascii="宋体" w:hAnsi="宋体" w:cs="宋体"/>
                <w:color w:val="000000"/>
                <w:szCs w:val="22"/>
              </w:rPr>
              <w:t>有接触职业病危害因素可能导致的健康影响（应当说明可能导致的职业病）。</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有□</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无□</w:t>
            </w:r>
          </w:p>
        </w:tc>
        <w:tc>
          <w:tcPr>
            <w:tcW w:w="2617" w:type="dxa"/>
            <w:vMerge w:val="continue"/>
            <w:vAlign w:val="center"/>
          </w:tcPr>
          <w:p>
            <w:pPr>
              <w:spacing w:line="0" w:lineRule="atLeast"/>
              <w:rPr>
                <w:rFonts w:hint="eastAsia" w:ascii="宋体" w:hAnsi="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trPr>
        <w:tc>
          <w:tcPr>
            <w:tcW w:w="842" w:type="dxa"/>
            <w:vMerge w:val="continue"/>
            <w:vAlign w:val="center"/>
          </w:tcPr>
          <w:p>
            <w:pPr>
              <w:adjustRightInd w:val="0"/>
              <w:snapToGrid w:val="0"/>
              <w:spacing w:line="0" w:lineRule="atLeast"/>
              <w:rPr>
                <w:rFonts w:hint="eastAsia" w:ascii="宋体" w:hAnsi="宋体" w:cs="宋体"/>
                <w:color w:val="000000"/>
                <w:szCs w:val="22"/>
              </w:rPr>
            </w:pPr>
          </w:p>
        </w:tc>
        <w:tc>
          <w:tcPr>
            <w:tcW w:w="1369" w:type="dxa"/>
            <w:vMerge w:val="continue"/>
            <w:vAlign w:val="center"/>
          </w:tcPr>
          <w:p>
            <w:pPr>
              <w:adjustRightInd w:val="0"/>
              <w:snapToGrid w:val="0"/>
              <w:spacing w:line="0" w:lineRule="atLeast"/>
              <w:rPr>
                <w:rFonts w:hint="eastAsia" w:ascii="宋体" w:hAnsi="宋体" w:cs="宋体"/>
                <w:color w:val="000000"/>
                <w:szCs w:val="22"/>
              </w:rPr>
            </w:pPr>
          </w:p>
        </w:tc>
        <w:tc>
          <w:tcPr>
            <w:tcW w:w="1230" w:type="dxa"/>
            <w:vMerge w:val="continue"/>
            <w:vAlign w:val="center"/>
          </w:tcPr>
          <w:p>
            <w:pPr>
              <w:adjustRightInd w:val="0"/>
              <w:snapToGrid w:val="0"/>
              <w:spacing w:line="0" w:lineRule="atLeast"/>
              <w:rPr>
                <w:rFonts w:hint="eastAsia" w:ascii="宋体" w:hAnsi="宋体" w:cs="宋体"/>
                <w:color w:val="000000"/>
                <w:szCs w:val="22"/>
              </w:rPr>
            </w:pPr>
          </w:p>
        </w:tc>
        <w:tc>
          <w:tcPr>
            <w:tcW w:w="5936" w:type="dxa"/>
            <w:vAlign w:val="center"/>
          </w:tcPr>
          <w:p>
            <w:pPr>
              <w:adjustRightInd w:val="0"/>
              <w:snapToGrid w:val="0"/>
              <w:spacing w:line="0" w:lineRule="atLeast"/>
              <w:jc w:val="left"/>
              <w:rPr>
                <w:rFonts w:hint="eastAsia" w:ascii="宋体" w:hAnsi="宋体" w:cs="宋体"/>
                <w:color w:val="000000"/>
                <w:szCs w:val="22"/>
              </w:rPr>
            </w:pPr>
            <w:r>
              <w:rPr>
                <w:rFonts w:hint="eastAsia" w:ascii="宋体" w:hAnsi="宋体" w:cs="宋体"/>
                <w:color w:val="000000"/>
                <w:szCs w:val="22"/>
              </w:rPr>
              <w:t>有与职业病危害对应的防护措施（工程防护和个体防护）。</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有□</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无□</w:t>
            </w:r>
          </w:p>
        </w:tc>
        <w:tc>
          <w:tcPr>
            <w:tcW w:w="2617" w:type="dxa"/>
            <w:vMerge w:val="continue"/>
            <w:vAlign w:val="center"/>
          </w:tcPr>
          <w:p>
            <w:pPr>
              <w:spacing w:line="0" w:lineRule="atLeast"/>
              <w:rPr>
                <w:rFonts w:hint="eastAsia" w:ascii="宋体" w:hAnsi="宋体" w:cs="宋体"/>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trPr>
        <w:tc>
          <w:tcPr>
            <w:tcW w:w="842" w:type="dxa"/>
            <w:vMerge w:val="continue"/>
            <w:vAlign w:val="center"/>
          </w:tcPr>
          <w:p>
            <w:pPr>
              <w:adjustRightInd w:val="0"/>
              <w:snapToGrid w:val="0"/>
              <w:spacing w:line="0" w:lineRule="atLeast"/>
              <w:rPr>
                <w:rFonts w:hint="eastAsia" w:ascii="宋体" w:hAnsi="宋体" w:cs="宋体"/>
                <w:color w:val="000000"/>
                <w:szCs w:val="22"/>
              </w:rPr>
            </w:pPr>
          </w:p>
        </w:tc>
        <w:tc>
          <w:tcPr>
            <w:tcW w:w="1369" w:type="dxa"/>
            <w:vMerge w:val="continue"/>
            <w:vAlign w:val="center"/>
          </w:tcPr>
          <w:p>
            <w:pPr>
              <w:adjustRightInd w:val="0"/>
              <w:snapToGrid w:val="0"/>
              <w:spacing w:line="0" w:lineRule="atLeast"/>
              <w:rPr>
                <w:rFonts w:hint="eastAsia" w:ascii="宋体" w:hAnsi="宋体" w:cs="宋体"/>
                <w:color w:val="000000"/>
                <w:szCs w:val="22"/>
              </w:rPr>
            </w:pPr>
          </w:p>
        </w:tc>
        <w:tc>
          <w:tcPr>
            <w:tcW w:w="1230" w:type="dxa"/>
            <w:vMerge w:val="continue"/>
            <w:vAlign w:val="center"/>
          </w:tcPr>
          <w:p>
            <w:pPr>
              <w:adjustRightInd w:val="0"/>
              <w:snapToGrid w:val="0"/>
              <w:spacing w:line="0" w:lineRule="atLeast"/>
              <w:rPr>
                <w:rFonts w:hint="eastAsia" w:ascii="宋体" w:hAnsi="宋体" w:cs="宋体"/>
                <w:color w:val="000000"/>
                <w:szCs w:val="22"/>
              </w:rPr>
            </w:pPr>
          </w:p>
        </w:tc>
        <w:tc>
          <w:tcPr>
            <w:tcW w:w="5936" w:type="dxa"/>
            <w:vAlign w:val="center"/>
          </w:tcPr>
          <w:p>
            <w:pPr>
              <w:adjustRightInd w:val="0"/>
              <w:snapToGrid w:val="0"/>
              <w:spacing w:line="0" w:lineRule="atLeast"/>
              <w:jc w:val="left"/>
              <w:rPr>
                <w:rFonts w:hint="eastAsia" w:ascii="宋体" w:hAnsi="宋体" w:cs="宋体"/>
                <w:color w:val="000000"/>
                <w:szCs w:val="22"/>
              </w:rPr>
            </w:pPr>
            <w:r>
              <w:rPr>
                <w:rFonts w:hint="eastAsia" w:ascii="宋体" w:hAnsi="宋体" w:cs="宋体"/>
                <w:color w:val="000000"/>
                <w:szCs w:val="22"/>
              </w:rPr>
              <w:t>培训的职业病危害种类、后果以及防护措施与日常接触的职业病危害因素相对应。</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3" w:hRule="atLeast"/>
        </w:trPr>
        <w:tc>
          <w:tcPr>
            <w:tcW w:w="842"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6</w:t>
            </w:r>
          </w:p>
        </w:tc>
        <w:tc>
          <w:tcPr>
            <w:tcW w:w="1369"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个体防护用品配备</w:t>
            </w:r>
          </w:p>
        </w:tc>
        <w:tc>
          <w:tcPr>
            <w:tcW w:w="7166" w:type="dxa"/>
            <w:gridSpan w:val="2"/>
            <w:vAlign w:val="center"/>
          </w:tcPr>
          <w:p>
            <w:pPr>
              <w:adjustRightInd w:val="0"/>
              <w:snapToGrid w:val="0"/>
              <w:spacing w:line="0" w:lineRule="atLeast"/>
              <w:jc w:val="left"/>
              <w:rPr>
                <w:rFonts w:hint="eastAsia" w:ascii="宋体" w:hAnsi="宋体" w:cs="宋体"/>
                <w:color w:val="000000"/>
                <w:szCs w:val="22"/>
              </w:rPr>
            </w:pPr>
            <w:r>
              <w:rPr>
                <w:rFonts w:hint="eastAsia" w:ascii="宋体" w:hAnsi="宋体" w:cs="宋体"/>
                <w:color w:val="000000"/>
                <w:szCs w:val="22"/>
              </w:rPr>
              <w:t>接触粉尘岗位应当配备符合《呼吸防护用品 自吸式过滤式防颗粒呼吸器》（GB2626）要求的防尘口罩。接触矽尘的劳动者应当配备过滤效率至少为 KN95级别的防尘口罩。</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restart"/>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jc w:val="left"/>
              <w:rPr>
                <w:rFonts w:hint="eastAsia" w:ascii="宋体" w:hAnsi="宋体" w:cs="宋体"/>
                <w:color w:val="000000"/>
                <w:szCs w:val="22"/>
              </w:rPr>
            </w:pPr>
            <w:r>
              <w:rPr>
                <w:rFonts w:hint="eastAsia" w:ascii="宋体" w:hAnsi="宋体" w:cs="宋体"/>
                <w:color w:val="000000"/>
                <w:szCs w:val="22"/>
              </w:rPr>
              <w:t>根据作业场所存在化学物的种类、接触方式，按照《个体防护装备选用规范》（GB/T 11651）要求，为劳动者配备合适的防毒面具。</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jc w:val="left"/>
              <w:rPr>
                <w:rFonts w:hint="eastAsia" w:ascii="宋体" w:hAnsi="宋体" w:cs="宋体"/>
                <w:color w:val="000000"/>
                <w:szCs w:val="22"/>
              </w:rPr>
            </w:pPr>
            <w:r>
              <w:rPr>
                <w:rFonts w:hint="eastAsia" w:ascii="宋体" w:hAnsi="宋体" w:cs="宋体"/>
                <w:color w:val="000000"/>
                <w:szCs w:val="22"/>
              </w:rPr>
              <w:t>建立个体防护用品管理制度。</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jc w:val="left"/>
              <w:rPr>
                <w:rFonts w:hint="eastAsia" w:ascii="宋体" w:hAnsi="宋体" w:cs="宋体"/>
                <w:color w:val="000000"/>
                <w:szCs w:val="22"/>
              </w:rPr>
            </w:pPr>
            <w:r>
              <w:rPr>
                <w:rFonts w:hint="eastAsia" w:ascii="宋体" w:hAnsi="宋体" w:cs="宋体"/>
                <w:color w:val="000000"/>
                <w:szCs w:val="22"/>
              </w:rPr>
              <w:t>有完整的个体防护用品采购发票、发放标准及领取记录等台账。</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jc w:val="left"/>
              <w:rPr>
                <w:rFonts w:hint="eastAsia" w:ascii="宋体" w:hAnsi="宋体" w:cs="宋体"/>
                <w:color w:val="000000"/>
                <w:szCs w:val="22"/>
              </w:rPr>
            </w:pPr>
            <w:r>
              <w:rPr>
                <w:rFonts w:hint="eastAsia" w:ascii="宋体" w:hAnsi="宋体" w:cs="宋体"/>
                <w:color w:val="000000"/>
                <w:szCs w:val="22"/>
              </w:rPr>
              <w:t>对劳动者进行个体防护用品佩戴培训。</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jc w:val="left"/>
              <w:rPr>
                <w:rFonts w:hint="eastAsia" w:ascii="宋体" w:hAnsi="宋体" w:cs="宋体"/>
                <w:color w:val="000000"/>
                <w:szCs w:val="22"/>
              </w:rPr>
            </w:pPr>
            <w:r>
              <w:rPr>
                <w:rFonts w:hint="eastAsia" w:ascii="宋体" w:hAnsi="宋体" w:cs="宋体"/>
                <w:color w:val="000000"/>
                <w:szCs w:val="22"/>
              </w:rPr>
              <w:t>个体防护用品更换周期满足要求。</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trPr>
        <w:tc>
          <w:tcPr>
            <w:tcW w:w="842"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7</w:t>
            </w:r>
          </w:p>
        </w:tc>
        <w:tc>
          <w:tcPr>
            <w:tcW w:w="1369"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定期检测</w:t>
            </w: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委托职业卫生技术服务机构每年至少开展一次职业病危害因素检测。</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restart"/>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所委托的检测机构应当具有国家认可的资质。</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有职业卫生技术服务机构出具的职业病危害因素检测报告。</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有□</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无□</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检测报告包括接触职业病危害的所有岗位。</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粉尘检测结果包括总尘、呼吸性粉尘浓度以及游离二氧化硅含量。</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b/>
                <w:color w:val="000000"/>
                <w:szCs w:val="22"/>
              </w:rPr>
            </w:pPr>
            <w:r>
              <w:rPr>
                <w:rFonts w:hint="eastAsia" w:ascii="宋体" w:hAnsi="宋体" w:cs="宋体"/>
                <w:color w:val="000000"/>
                <w:szCs w:val="22"/>
              </w:rPr>
              <w:t>通过公告栏、书面通知或其他有效方式告知劳动者工作场所职业病危害因素检测及评价结果。</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trPr>
        <w:tc>
          <w:tcPr>
            <w:tcW w:w="842"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8</w:t>
            </w:r>
          </w:p>
        </w:tc>
        <w:tc>
          <w:tcPr>
            <w:tcW w:w="1369"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职业健康</w:t>
            </w:r>
          </w:p>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检查</w:t>
            </w: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职业健康检查报告中，包括所有接触职业病危害的劳动者。</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restart"/>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实施职业病危害检查周期满足《职业健康监护技术规范》（GBZ 188）的要求。</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建立劳动者职业健康监护档案。</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将职业健康检查结果告知劳动者（需有劳动者确认签字）。</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需复查人员按照规定复查。</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有职业禁忌证的人员必须调离接害岗位。</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发现职业病病人或者疑似职业病病人时，应当及时向所在地卫生行政部门报告。</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及时安排对疑似职业病病人进行诊断。</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按照国家有关规定妥善安置职业病病人。</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842"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9</w:t>
            </w:r>
          </w:p>
        </w:tc>
        <w:tc>
          <w:tcPr>
            <w:tcW w:w="1369"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职业病危害合同告知</w:t>
            </w: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 xml:space="preserve">劳动合同或其附件等，有企业签章与劳动者确认的签字。 </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restart"/>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230" w:type="dxa"/>
            <w:vMerge w:val="restart"/>
            <w:vAlign w:val="center"/>
          </w:tcPr>
          <w:p>
            <w:pPr>
              <w:adjustRightInd w:val="0"/>
              <w:snapToGrid w:val="0"/>
              <w:spacing w:line="0" w:lineRule="atLeast"/>
              <w:jc w:val="left"/>
              <w:rPr>
                <w:rFonts w:hint="eastAsia" w:ascii="宋体" w:hAnsi="宋体" w:cs="宋体"/>
                <w:color w:val="000000"/>
                <w:szCs w:val="22"/>
              </w:rPr>
            </w:pPr>
            <w:r>
              <w:rPr>
                <w:rFonts w:hint="eastAsia" w:ascii="宋体" w:hAnsi="宋体" w:cs="宋体"/>
                <w:color w:val="000000"/>
                <w:szCs w:val="22"/>
              </w:rPr>
              <w:t>合同内容</w:t>
            </w:r>
          </w:p>
        </w:tc>
        <w:tc>
          <w:tcPr>
            <w:tcW w:w="5936" w:type="dxa"/>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有劳动者工作中可能接触到的职业病危害因素。</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有□</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无□</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230" w:type="dxa"/>
            <w:vMerge w:val="continue"/>
            <w:vAlign w:val="center"/>
          </w:tcPr>
          <w:p>
            <w:pPr>
              <w:adjustRightInd w:val="0"/>
              <w:snapToGrid w:val="0"/>
              <w:spacing w:line="0" w:lineRule="atLeast"/>
              <w:rPr>
                <w:rFonts w:hint="eastAsia" w:ascii="宋体" w:hAnsi="宋体" w:cs="宋体"/>
                <w:color w:val="000000"/>
                <w:szCs w:val="22"/>
              </w:rPr>
            </w:pPr>
          </w:p>
        </w:tc>
        <w:tc>
          <w:tcPr>
            <w:tcW w:w="5936" w:type="dxa"/>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有接触职业病危害因素可能产生的后果。</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有□</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无□</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230" w:type="dxa"/>
            <w:vMerge w:val="continue"/>
            <w:vAlign w:val="center"/>
          </w:tcPr>
          <w:p>
            <w:pPr>
              <w:adjustRightInd w:val="0"/>
              <w:snapToGrid w:val="0"/>
              <w:spacing w:line="0" w:lineRule="atLeast"/>
              <w:rPr>
                <w:rFonts w:hint="eastAsia" w:ascii="宋体" w:hAnsi="宋体" w:cs="宋体"/>
                <w:color w:val="000000"/>
                <w:szCs w:val="22"/>
              </w:rPr>
            </w:pPr>
          </w:p>
        </w:tc>
        <w:tc>
          <w:tcPr>
            <w:tcW w:w="5936" w:type="dxa"/>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有职业病危害因素的防护措施。</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有□</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无□</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230" w:type="dxa"/>
            <w:vMerge w:val="continue"/>
            <w:vAlign w:val="center"/>
          </w:tcPr>
          <w:p>
            <w:pPr>
              <w:adjustRightInd w:val="0"/>
              <w:snapToGrid w:val="0"/>
              <w:spacing w:line="0" w:lineRule="atLeast"/>
              <w:rPr>
                <w:rFonts w:hint="eastAsia" w:ascii="宋体" w:hAnsi="宋体" w:cs="宋体"/>
                <w:color w:val="000000"/>
                <w:szCs w:val="22"/>
              </w:rPr>
            </w:pPr>
          </w:p>
        </w:tc>
        <w:tc>
          <w:tcPr>
            <w:tcW w:w="5936" w:type="dxa"/>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所告知的职业病危害后果、防护措施与所告知的职业病危害因素相对应。</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trPr>
        <w:tc>
          <w:tcPr>
            <w:tcW w:w="842"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10</w:t>
            </w:r>
          </w:p>
        </w:tc>
        <w:tc>
          <w:tcPr>
            <w:tcW w:w="1369" w:type="dxa"/>
            <w:vMerge w:val="restart"/>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现场告知</w:t>
            </w: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在醒目位置设置公告栏，公布职业病危害防治规章制度、操作规程、职业病危害事故应急救援措施。</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restart"/>
            <w:vAlign w:val="center"/>
          </w:tcPr>
          <w:p>
            <w:pPr>
              <w:adjustRightInd w:val="0"/>
              <w:snapToGrid w:val="0"/>
              <w:spacing w:line="0" w:lineRule="atLeast"/>
              <w:jc w:val="center"/>
              <w:rPr>
                <w:rFonts w:hint="eastAsia" w:ascii="宋体" w:hAnsi="宋体" w:cs="宋体"/>
                <w:color w:val="00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7" w:hRule="atLeast"/>
        </w:trPr>
        <w:tc>
          <w:tcPr>
            <w:tcW w:w="842"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1369" w:type="dxa"/>
            <w:vMerge w:val="continue"/>
            <w:vAlign w:val="center"/>
          </w:tcPr>
          <w:p>
            <w:pPr>
              <w:adjustRightInd w:val="0"/>
              <w:snapToGrid w:val="0"/>
              <w:spacing w:line="0" w:lineRule="atLeast"/>
              <w:jc w:val="center"/>
              <w:rPr>
                <w:rFonts w:hint="eastAsia" w:ascii="宋体" w:hAnsi="宋体" w:cs="宋体"/>
                <w:color w:val="000000"/>
                <w:szCs w:val="22"/>
              </w:rPr>
            </w:pPr>
          </w:p>
        </w:tc>
        <w:tc>
          <w:tcPr>
            <w:tcW w:w="7166" w:type="dxa"/>
            <w:gridSpan w:val="2"/>
            <w:vAlign w:val="center"/>
          </w:tcPr>
          <w:p>
            <w:pPr>
              <w:adjustRightInd w:val="0"/>
              <w:snapToGrid w:val="0"/>
              <w:spacing w:line="0" w:lineRule="atLeast"/>
              <w:rPr>
                <w:rFonts w:hint="eastAsia" w:ascii="宋体" w:hAnsi="宋体" w:cs="宋体"/>
                <w:color w:val="000000"/>
                <w:szCs w:val="22"/>
              </w:rPr>
            </w:pPr>
            <w:r>
              <w:rPr>
                <w:rFonts w:hint="eastAsia" w:ascii="宋体" w:hAnsi="宋体" w:cs="宋体"/>
                <w:color w:val="000000"/>
                <w:szCs w:val="22"/>
              </w:rPr>
              <w:t>存在或产生职业病危害的工作场所、作业岗位、设备、设施，应当按照《工作场所职业病危害警示标识》（GBZ 158）等相关规定，在醒目位置设置图形、警示线、警示语句等警示标识和中文警示说明。</w:t>
            </w:r>
          </w:p>
        </w:tc>
        <w:tc>
          <w:tcPr>
            <w:tcW w:w="1021"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是□</w:t>
            </w:r>
          </w:p>
        </w:tc>
        <w:tc>
          <w:tcPr>
            <w:tcW w:w="1159" w:type="dxa"/>
            <w:vAlign w:val="center"/>
          </w:tcPr>
          <w:p>
            <w:pPr>
              <w:adjustRightInd w:val="0"/>
              <w:snapToGrid w:val="0"/>
              <w:spacing w:line="0" w:lineRule="atLeast"/>
              <w:jc w:val="center"/>
              <w:rPr>
                <w:rFonts w:hint="eastAsia" w:ascii="宋体" w:hAnsi="宋体" w:cs="宋体"/>
                <w:color w:val="000000"/>
                <w:szCs w:val="22"/>
              </w:rPr>
            </w:pPr>
            <w:r>
              <w:rPr>
                <w:rFonts w:hint="eastAsia" w:ascii="宋体" w:hAnsi="宋体" w:cs="宋体"/>
                <w:color w:val="000000"/>
                <w:szCs w:val="22"/>
              </w:rPr>
              <w:t>否□</w:t>
            </w:r>
          </w:p>
        </w:tc>
        <w:tc>
          <w:tcPr>
            <w:tcW w:w="2617" w:type="dxa"/>
            <w:vMerge w:val="continue"/>
            <w:vAlign w:val="center"/>
          </w:tcPr>
          <w:p>
            <w:pPr>
              <w:adjustRightInd w:val="0"/>
              <w:snapToGrid w:val="0"/>
              <w:spacing w:line="0" w:lineRule="atLeast"/>
              <w:jc w:val="center"/>
              <w:rPr>
                <w:rFonts w:hint="eastAsia" w:ascii="宋体" w:hAnsi="宋体" w:cs="宋体"/>
                <w:color w:val="000000"/>
                <w:szCs w:val="22"/>
              </w:rPr>
            </w:pPr>
          </w:p>
        </w:tc>
      </w:tr>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E442D4"/>
    <w:rsid w:val="4A9C07AE"/>
    <w:rsid w:val="799E3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Ying</dc:creator>
  <cp:lastModifiedBy>y</cp:lastModifiedBy>
  <dcterms:modified xsi:type="dcterms:W3CDTF">2019-06-21T03:50:27Z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