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</w:p>
    <w:p>
      <w:pPr>
        <w:spacing w:line="700" w:lineRule="exact"/>
        <w:jc w:val="center"/>
        <w:rPr>
          <w:rFonts w:eastAsia="方正小标宋简体"/>
          <w:bCs/>
          <w:sz w:val="44"/>
          <w:szCs w:val="36"/>
        </w:rPr>
      </w:pPr>
      <w:r>
        <w:rPr>
          <w:rFonts w:eastAsia="方正小标宋简体"/>
          <w:bCs/>
          <w:sz w:val="44"/>
          <w:szCs w:val="36"/>
        </w:rPr>
        <w:t>治理后用人单位基本情况汇总表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填报单位：                                                                                     填表时间：</w:t>
      </w:r>
    </w:p>
    <w:tbl>
      <w:tblPr>
        <w:tblStyle w:val="3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181"/>
        <w:gridCol w:w="1450"/>
        <w:gridCol w:w="1887"/>
        <w:gridCol w:w="1595"/>
        <w:gridCol w:w="1456"/>
        <w:gridCol w:w="1742"/>
        <w:gridCol w:w="1887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序号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行业领域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用人单位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数量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主要负责人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接受职业健康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培训用人单位数</w:t>
            </w:r>
          </w:p>
        </w:tc>
        <w:tc>
          <w:tcPr>
            <w:tcW w:w="15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职业健康管理人员接受培训用人单位数</w:t>
            </w: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劳动者接受培训用人单位数</w:t>
            </w: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职业病危害项目申报用人单位数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2019年进行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职业病危害定期检测用人单位数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2019年进行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职业健康检查用人单位数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矿山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其中：井工煤矿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ind w:firstLine="630" w:firstLineChars="300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露天煤矿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ind w:firstLine="630" w:firstLineChars="300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非煤地下矿山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ind w:firstLine="630" w:firstLineChars="300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非煤露天矿山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冶金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其中：黑色金属冶炼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 xml:space="preserve">     有色金属冶炼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化工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其中： 炼油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0" w:lineRule="atLeast"/>
              <w:ind w:right="210"/>
              <w:jc w:val="lef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 xml:space="preserve">       化工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合计</w:t>
            </w:r>
          </w:p>
        </w:tc>
        <w:tc>
          <w:tcPr>
            <w:tcW w:w="14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</w:tbl>
    <w:p>
      <w:r>
        <w:rPr>
          <w:rFonts w:hint="eastAsia" w:ascii="宋体" w:hAnsi="宋体" w:cs="宋体"/>
          <w:sz w:val="24"/>
        </w:rPr>
        <w:t>填表人：                                                                                      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7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Ying</dc:creator>
  <cp:lastModifiedBy>y</cp:lastModifiedBy>
  <dcterms:modified xsi:type="dcterms:W3CDTF">2019-06-21T06:46:43Z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