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D7" w:rsidRDefault="005326D7" w:rsidP="005326D7">
      <w:pPr>
        <w:spacing w:line="58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2018年第二季度全市公立医院与社会办医院满意度评分情况</w:t>
      </w:r>
      <w:bookmarkEnd w:id="0"/>
    </w:p>
    <w:p w:rsidR="005326D7" w:rsidRDefault="005326D7" w:rsidP="005326D7">
      <w:pPr>
        <w:spacing w:line="440" w:lineRule="exact"/>
        <w:rPr>
          <w:rFonts w:ascii="方正小标宋_GBK" w:eastAsia="方正小标宋_GBK" w:hAnsi="仿宋"/>
          <w:sz w:val="36"/>
          <w:szCs w:val="36"/>
        </w:rPr>
      </w:pPr>
    </w:p>
    <w:p w:rsidR="005326D7" w:rsidRDefault="005326D7" w:rsidP="005326D7">
      <w:pPr>
        <w:spacing w:line="440" w:lineRule="exact"/>
        <w:rPr>
          <w:rFonts w:ascii="方正小标宋_GBK" w:eastAsia="方正小标宋_GBK" w:hAnsi="仿宋" w:hint="eastAsia"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67"/>
        <w:gridCol w:w="1391"/>
        <w:gridCol w:w="982"/>
        <w:gridCol w:w="1214"/>
        <w:gridCol w:w="961"/>
        <w:gridCol w:w="1361"/>
        <w:gridCol w:w="1146"/>
      </w:tblGrid>
      <w:tr w:rsidR="005326D7" w:rsidTr="00270E7B">
        <w:trPr>
          <w:trHeight w:val="495"/>
          <w:jc w:val="center"/>
        </w:trPr>
        <w:tc>
          <w:tcPr>
            <w:tcW w:w="14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举办主体</w:t>
            </w:r>
          </w:p>
        </w:tc>
        <w:tc>
          <w:tcPr>
            <w:tcW w:w="13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门诊</w:t>
            </w:r>
          </w:p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满意率</w:t>
            </w:r>
          </w:p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(%)</w:t>
            </w: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门诊</w:t>
            </w:r>
          </w:p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满意度</w:t>
            </w:r>
          </w:p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（分）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住院</w:t>
            </w:r>
          </w:p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满意率</w:t>
            </w:r>
          </w:p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(%)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住院</w:t>
            </w:r>
          </w:p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满意度</w:t>
            </w:r>
          </w:p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（分）</w:t>
            </w: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总体</w:t>
            </w:r>
          </w:p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满意率</w:t>
            </w:r>
          </w:p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(%)</w:t>
            </w:r>
          </w:p>
        </w:tc>
        <w:tc>
          <w:tcPr>
            <w:tcW w:w="11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总体</w:t>
            </w:r>
          </w:p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满意度</w:t>
            </w:r>
          </w:p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（分）</w:t>
            </w:r>
          </w:p>
        </w:tc>
      </w:tr>
      <w:tr w:rsidR="005326D7" w:rsidTr="00270E7B">
        <w:trPr>
          <w:trHeight w:val="375"/>
          <w:jc w:val="center"/>
        </w:trPr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公立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94.1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85.39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96.1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87.69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95.3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86.54</w:t>
            </w:r>
          </w:p>
        </w:tc>
      </w:tr>
      <w:tr w:rsidR="005326D7" w:rsidTr="00270E7B">
        <w:trPr>
          <w:trHeight w:val="375"/>
          <w:jc w:val="center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社会办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87.8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80.37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92.8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82.91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89.6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81.64</w:t>
            </w:r>
          </w:p>
        </w:tc>
      </w:tr>
      <w:tr w:rsidR="005326D7" w:rsidTr="00270E7B">
        <w:trPr>
          <w:trHeight w:val="390"/>
          <w:jc w:val="center"/>
        </w:trPr>
        <w:tc>
          <w:tcPr>
            <w:tcW w:w="14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全市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92.4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84.02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95.7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87.18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94.6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326D7" w:rsidRDefault="005326D7" w:rsidP="00270E7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85.60</w:t>
            </w:r>
          </w:p>
        </w:tc>
      </w:tr>
    </w:tbl>
    <w:p w:rsidR="005326D7" w:rsidRDefault="005326D7" w:rsidP="005326D7">
      <w:pPr>
        <w:spacing w:beforeLines="20" w:before="62" w:afterLines="20" w:after="62" w:line="360" w:lineRule="auto"/>
        <w:jc w:val="left"/>
        <w:rPr>
          <w:rFonts w:ascii="宋体" w:hAnsi="宋体"/>
        </w:rPr>
      </w:pPr>
    </w:p>
    <w:p w:rsidR="005326D7" w:rsidRDefault="005326D7" w:rsidP="005326D7">
      <w:pPr>
        <w:spacing w:beforeLines="20" w:before="62" w:afterLines="20" w:after="62" w:line="360" w:lineRule="auto"/>
        <w:jc w:val="left"/>
        <w:rPr>
          <w:rFonts w:ascii="宋体" w:hAnsi="宋体"/>
        </w:rPr>
      </w:pPr>
    </w:p>
    <w:p w:rsidR="005326D7" w:rsidRDefault="005326D7" w:rsidP="005326D7">
      <w:pPr>
        <w:spacing w:beforeLines="20" w:before="62" w:afterLines="20" w:after="62" w:line="360" w:lineRule="auto"/>
        <w:jc w:val="left"/>
        <w:rPr>
          <w:rFonts w:ascii="宋体" w:hAnsi="宋体" w:hint="eastAsia"/>
        </w:rPr>
      </w:pPr>
    </w:p>
    <w:p w:rsidR="005326D7" w:rsidRDefault="005326D7" w:rsidP="005326D7">
      <w:pPr>
        <w:pStyle w:val="p0"/>
        <w:rPr>
          <w:rFonts w:ascii="宋体" w:hint="eastAsia"/>
          <w:lang w:val="en-US" w:eastAsia="zh-CN"/>
        </w:rPr>
      </w:pPr>
    </w:p>
    <w:p w:rsidR="005326D7" w:rsidRDefault="005326D7" w:rsidP="005326D7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3" name="图表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26D7" w:rsidRDefault="005326D7" w:rsidP="005326D7">
      <w:pPr>
        <w:spacing w:line="580" w:lineRule="exact"/>
        <w:ind w:firstLineChars="1000" w:firstLine="220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/>
          <w:sz w:val="22"/>
        </w:rPr>
        <w:t>图</w:t>
      </w:r>
      <w:r>
        <w:rPr>
          <w:rFonts w:ascii="宋体" w:hAnsi="宋体" w:hint="eastAsia"/>
          <w:sz w:val="22"/>
        </w:rPr>
        <w:t>1</w:t>
      </w:r>
      <w:r>
        <w:rPr>
          <w:rFonts w:ascii="宋体" w:hAnsi="宋体"/>
          <w:sz w:val="22"/>
        </w:rPr>
        <w:t>全市医院</w:t>
      </w:r>
      <w:r>
        <w:rPr>
          <w:rFonts w:ascii="宋体" w:hAnsi="宋体" w:hint="eastAsia"/>
          <w:sz w:val="22"/>
        </w:rPr>
        <w:t>门诊与住院</w:t>
      </w:r>
      <w:r>
        <w:rPr>
          <w:rFonts w:ascii="宋体" w:hAnsi="宋体"/>
          <w:sz w:val="22"/>
        </w:rPr>
        <w:t>满意度评分情况</w:t>
      </w:r>
    </w:p>
    <w:p w:rsidR="005326D7" w:rsidRDefault="005326D7" w:rsidP="005326D7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5326D7" w:rsidRDefault="005326D7" w:rsidP="005326D7">
      <w:pPr>
        <w:spacing w:line="580" w:lineRule="exact"/>
        <w:rPr>
          <w:rFonts w:ascii="宋体" w:hAnsi="宋体"/>
          <w:sz w:val="22"/>
        </w:rPr>
      </w:pPr>
    </w:p>
    <w:p w:rsidR="005326D7" w:rsidRDefault="005326D7" w:rsidP="005326D7">
      <w:pPr>
        <w:spacing w:line="580" w:lineRule="exact"/>
        <w:rPr>
          <w:rFonts w:ascii="宋体" w:hAnsi="宋体"/>
          <w:sz w:val="22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-45085</wp:posOffset>
            </wp:positionV>
            <wp:extent cx="5248275" cy="2952750"/>
            <wp:effectExtent l="0" t="0" r="0" b="0"/>
            <wp:wrapNone/>
            <wp:docPr id="4" name="图表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6D7" w:rsidRDefault="005326D7" w:rsidP="005326D7">
      <w:pPr>
        <w:spacing w:line="580" w:lineRule="exact"/>
        <w:rPr>
          <w:rFonts w:ascii="宋体" w:hAnsi="宋体"/>
          <w:sz w:val="22"/>
        </w:rPr>
      </w:pPr>
    </w:p>
    <w:p w:rsidR="005326D7" w:rsidRDefault="005326D7" w:rsidP="005326D7">
      <w:pPr>
        <w:spacing w:line="580" w:lineRule="exact"/>
        <w:rPr>
          <w:rFonts w:ascii="宋体" w:hAnsi="宋体"/>
          <w:sz w:val="22"/>
        </w:rPr>
      </w:pPr>
    </w:p>
    <w:p w:rsidR="005326D7" w:rsidRDefault="005326D7" w:rsidP="005326D7">
      <w:pPr>
        <w:spacing w:line="580" w:lineRule="exact"/>
        <w:rPr>
          <w:rFonts w:ascii="宋体" w:hAnsi="宋体"/>
          <w:sz w:val="22"/>
        </w:rPr>
      </w:pPr>
    </w:p>
    <w:p w:rsidR="005326D7" w:rsidRDefault="005326D7" w:rsidP="005326D7">
      <w:pPr>
        <w:spacing w:line="580" w:lineRule="exact"/>
        <w:rPr>
          <w:rFonts w:ascii="宋体" w:hAnsi="宋体"/>
          <w:sz w:val="22"/>
        </w:rPr>
      </w:pPr>
    </w:p>
    <w:p w:rsidR="005326D7" w:rsidRDefault="005326D7" w:rsidP="005326D7">
      <w:pPr>
        <w:spacing w:line="580" w:lineRule="exact"/>
        <w:rPr>
          <w:rFonts w:ascii="宋体" w:hAnsi="宋体"/>
          <w:sz w:val="22"/>
        </w:rPr>
      </w:pPr>
    </w:p>
    <w:p w:rsidR="005326D7" w:rsidRDefault="005326D7" w:rsidP="005326D7">
      <w:pPr>
        <w:spacing w:line="580" w:lineRule="exact"/>
        <w:rPr>
          <w:rFonts w:ascii="宋体" w:hAnsi="宋体"/>
          <w:sz w:val="22"/>
        </w:rPr>
      </w:pPr>
    </w:p>
    <w:p w:rsidR="005326D7" w:rsidRDefault="005326D7" w:rsidP="005326D7">
      <w:pPr>
        <w:spacing w:line="580" w:lineRule="exact"/>
        <w:rPr>
          <w:rFonts w:ascii="宋体" w:hAnsi="宋体"/>
          <w:sz w:val="22"/>
        </w:rPr>
      </w:pPr>
    </w:p>
    <w:p w:rsidR="005326D7" w:rsidRDefault="005326D7" w:rsidP="005326D7">
      <w:pPr>
        <w:spacing w:line="580" w:lineRule="exact"/>
        <w:ind w:firstLineChars="1000" w:firstLine="220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/>
          <w:sz w:val="22"/>
        </w:rPr>
        <w:t>图</w:t>
      </w:r>
      <w:r>
        <w:rPr>
          <w:rFonts w:ascii="宋体" w:hAnsi="宋体" w:hint="eastAsia"/>
          <w:sz w:val="22"/>
        </w:rPr>
        <w:t>2</w:t>
      </w:r>
      <w:r>
        <w:rPr>
          <w:rFonts w:ascii="宋体" w:hAnsi="宋体"/>
          <w:sz w:val="22"/>
        </w:rPr>
        <w:t>全市医院满意度评分情况</w:t>
      </w:r>
    </w:p>
    <w:p w:rsidR="005326D7" w:rsidRDefault="005326D7" w:rsidP="005326D7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5326D7" w:rsidRDefault="005326D7" w:rsidP="005326D7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5326D7" w:rsidRDefault="005326D7" w:rsidP="005326D7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5326D7" w:rsidRDefault="005326D7" w:rsidP="005326D7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5181600" cy="2743200"/>
            <wp:effectExtent l="0" t="0" r="0" b="0"/>
            <wp:docPr id="2" name="图表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26D7" w:rsidRDefault="005326D7" w:rsidP="005326D7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5326D7" w:rsidRDefault="005326D7" w:rsidP="005326D7">
      <w:pPr>
        <w:spacing w:line="360" w:lineRule="auto"/>
        <w:ind w:left="630" w:hangingChars="300" w:hanging="630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图3 公立医院满意度评分情况</w:t>
      </w:r>
    </w:p>
    <w:p w:rsidR="005326D7" w:rsidRDefault="005326D7" w:rsidP="005326D7">
      <w:pPr>
        <w:spacing w:line="360" w:lineRule="auto"/>
        <w:ind w:left="630" w:hangingChars="300" w:hanging="630"/>
        <w:jc w:val="left"/>
        <w:rPr>
          <w:rFonts w:ascii="宋体" w:hAnsi="宋体" w:hint="eastAsia"/>
        </w:rPr>
      </w:pPr>
    </w:p>
    <w:p w:rsidR="005326D7" w:rsidRDefault="005326D7" w:rsidP="005326D7">
      <w:pPr>
        <w:spacing w:line="360" w:lineRule="auto"/>
        <w:ind w:left="630" w:hangingChars="300" w:hanging="630"/>
        <w:jc w:val="left"/>
        <w:rPr>
          <w:rFonts w:ascii="宋体" w:hAnsi="宋体" w:hint="eastAsia"/>
        </w:rPr>
      </w:pPr>
    </w:p>
    <w:p w:rsidR="005326D7" w:rsidRDefault="005326D7" w:rsidP="005326D7">
      <w:pPr>
        <w:spacing w:line="360" w:lineRule="auto"/>
        <w:ind w:left="630" w:hangingChars="300" w:hanging="630"/>
        <w:jc w:val="left"/>
        <w:rPr>
          <w:rFonts w:ascii="宋体" w:hAnsi="宋体" w:hint="eastAsia"/>
        </w:rPr>
      </w:pPr>
      <w:r>
        <w:rPr>
          <w:noProof/>
        </w:rPr>
        <w:lastRenderedPageBreak/>
        <w:drawing>
          <wp:inline distT="0" distB="0" distL="0" distR="0">
            <wp:extent cx="5029200" cy="2819400"/>
            <wp:effectExtent l="0" t="0" r="0" b="0"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26D7" w:rsidRDefault="005326D7" w:rsidP="005326D7">
      <w:pPr>
        <w:spacing w:line="360" w:lineRule="auto"/>
        <w:ind w:left="630" w:hangingChars="300" w:hanging="630"/>
        <w:jc w:val="center"/>
      </w:pPr>
      <w:r>
        <w:rPr>
          <w:rFonts w:ascii="宋体" w:hAnsi="宋体" w:hint="eastAsia"/>
        </w:rPr>
        <w:t>图4 社会办医院满意度评分情况</w:t>
      </w:r>
    </w:p>
    <w:p w:rsidR="00581428" w:rsidRPr="005326D7" w:rsidRDefault="00581428" w:rsidP="005326D7"/>
    <w:sectPr w:rsidR="00581428" w:rsidRPr="00532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1E6" w:rsidRDefault="000241E6" w:rsidP="006A4BD2">
      <w:r>
        <w:separator/>
      </w:r>
    </w:p>
  </w:endnote>
  <w:endnote w:type="continuationSeparator" w:id="0">
    <w:p w:rsidR="000241E6" w:rsidRDefault="000241E6" w:rsidP="006A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1E6" w:rsidRDefault="000241E6" w:rsidP="006A4BD2">
      <w:r>
        <w:separator/>
      </w:r>
    </w:p>
  </w:footnote>
  <w:footnote w:type="continuationSeparator" w:id="0">
    <w:p w:rsidR="000241E6" w:rsidRDefault="000241E6" w:rsidP="006A4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F5"/>
    <w:rsid w:val="000241E6"/>
    <w:rsid w:val="00254CF5"/>
    <w:rsid w:val="005326D7"/>
    <w:rsid w:val="00581428"/>
    <w:rsid w:val="006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98E58-F587-4351-9EF6-FBF7B7F4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B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B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BD2"/>
    <w:rPr>
      <w:sz w:val="18"/>
      <w:szCs w:val="18"/>
    </w:rPr>
  </w:style>
  <w:style w:type="paragraph" w:customStyle="1" w:styleId="p0">
    <w:name w:val="p0"/>
    <w:basedOn w:val="a"/>
    <w:rsid w:val="005326D7"/>
    <w:pPr>
      <w:widowControl/>
    </w:pPr>
    <w:rPr>
      <w:rFonts w:ascii="Calibri" w:hAnsi="Calibri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6519;&#19990;&#20840;\work\&#28385;&#24847;&#24230;\&#28385;&#24847;&#24230;\&#21307;&#38498;&#24739;&#32773;&#28385;&#24847;&#24230;\2018&#24180;&#21307;&#38498;&#24739;&#32773;&#28385;&#24847;&#24230;\&#31532;&#20108;&#23395;&#24230;\&#2227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sq605\Desktop\&#28385;&#24847;&#24230;\&#31532;&#20108;&#23395;&#24230;\&#35843;&#26597;&#25968;&#25454;\&#34920;&#26684;&#25968;&#2545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sq605\Desktop\&#28385;&#24847;&#24230;\&#31532;&#20108;&#23395;&#24230;\&#35843;&#26597;&#25968;&#25454;\&#34920;&#26684;&#25968;&#25454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sq605\Desktop\&#28385;&#24847;&#24230;\&#31532;&#20108;&#23395;&#24230;\&#35843;&#26597;&#25968;&#25454;\&#34920;&#26684;&#25968;&#25454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Sheet1!$D$15</c:f>
              <c:strCache>
                <c:ptCount val="1"/>
                <c:pt idx="0">
                  <c:v>公立</c:v>
                </c:pt>
              </c:strCache>
            </c:strRef>
          </c:tx>
          <c:spPr>
            <a:pattFill prst="wdDnDiag">
              <a:fgClr>
                <a:srgbClr val="4F81BD"/>
              </a:fgClr>
              <a:bgClr>
                <a:srgbClr val="FFFFFF"/>
              </a:bgClr>
            </a:pattFill>
            <a:ln>
              <a:noFill/>
            </a:ln>
            <a:effectLst/>
          </c:spPr>
          <c:invertIfNegative val="0"/>
          <c:cat>
            <c:strRef>
              <c:f>Sheet1!$E$14:$G$14</c:f>
              <c:strCache>
                <c:ptCount val="3"/>
                <c:pt idx="0">
                  <c:v>门诊满意度</c:v>
                </c:pt>
                <c:pt idx="1">
                  <c:v>住院满意度</c:v>
                </c:pt>
                <c:pt idx="2">
                  <c:v>总体满意度</c:v>
                </c:pt>
              </c:strCache>
            </c:strRef>
          </c:cat>
          <c:val>
            <c:numRef>
              <c:f>Sheet1!$E$15:$G$15</c:f>
              <c:numCache>
                <c:formatCode>0.00</c:formatCode>
                <c:ptCount val="3"/>
                <c:pt idx="0">
                  <c:v>85.39</c:v>
                </c:pt>
                <c:pt idx="1">
                  <c:v>87.69</c:v>
                </c:pt>
                <c:pt idx="2">
                  <c:v>86.54</c:v>
                </c:pt>
              </c:numCache>
            </c:numRef>
          </c:val>
        </c:ser>
        <c:ser>
          <c:idx val="1"/>
          <c:order val="1"/>
          <c:tx>
            <c:strRef>
              <c:f>Sheet1!$D$16</c:f>
              <c:strCache>
                <c:ptCount val="1"/>
                <c:pt idx="0">
                  <c:v>社会办</c:v>
                </c:pt>
              </c:strCache>
            </c:strRef>
          </c:tx>
          <c:spPr>
            <a:pattFill prst="dkHorz">
              <a:fgClr>
                <a:srgbClr val="FFC000"/>
              </a:fgClr>
              <a:bgClr>
                <a:srgbClr val="FFFFFF"/>
              </a:bgClr>
            </a:pattFill>
            <a:ln>
              <a:noFill/>
            </a:ln>
            <a:effectLst/>
          </c:spPr>
          <c:invertIfNegative val="0"/>
          <c:cat>
            <c:strRef>
              <c:f>Sheet1!$E$14:$G$14</c:f>
              <c:strCache>
                <c:ptCount val="3"/>
                <c:pt idx="0">
                  <c:v>门诊满意度</c:v>
                </c:pt>
                <c:pt idx="1">
                  <c:v>住院满意度</c:v>
                </c:pt>
                <c:pt idx="2">
                  <c:v>总体满意度</c:v>
                </c:pt>
              </c:strCache>
            </c:strRef>
          </c:cat>
          <c:val>
            <c:numRef>
              <c:f>Sheet1!$E$16:$G$16</c:f>
              <c:numCache>
                <c:formatCode>0.00</c:formatCode>
                <c:ptCount val="3"/>
                <c:pt idx="0">
                  <c:v>80.37</c:v>
                </c:pt>
                <c:pt idx="1">
                  <c:v>82.91</c:v>
                </c:pt>
                <c:pt idx="2">
                  <c:v>81.64</c:v>
                </c:pt>
              </c:numCache>
            </c:numRef>
          </c:val>
        </c:ser>
        <c:ser>
          <c:idx val="2"/>
          <c:order val="2"/>
          <c:tx>
            <c:strRef>
              <c:f>Sheet1!$D$17</c:f>
              <c:strCache>
                <c:ptCount val="1"/>
                <c:pt idx="0">
                  <c:v>全市</c:v>
                </c:pt>
              </c:strCache>
            </c:strRef>
          </c:tx>
          <c:spPr>
            <a:pattFill prst="wdUpDiag">
              <a:fgClr>
                <a:srgbClr val="00B050"/>
              </a:fgClr>
              <a:bgClr>
                <a:srgbClr val="FFFFFF"/>
              </a:bgClr>
            </a:pattFill>
            <a:ln>
              <a:noFill/>
            </a:ln>
            <a:effectLst/>
          </c:spPr>
          <c:invertIfNegative val="0"/>
          <c:cat>
            <c:strRef>
              <c:f>Sheet1!$E$14:$G$14</c:f>
              <c:strCache>
                <c:ptCount val="3"/>
                <c:pt idx="0">
                  <c:v>门诊满意度</c:v>
                </c:pt>
                <c:pt idx="1">
                  <c:v>住院满意度</c:v>
                </c:pt>
                <c:pt idx="2">
                  <c:v>总体满意度</c:v>
                </c:pt>
              </c:strCache>
            </c:strRef>
          </c:cat>
          <c:val>
            <c:numRef>
              <c:f>Sheet1!$E$17:$G$17</c:f>
              <c:numCache>
                <c:formatCode>0.00</c:formatCode>
                <c:ptCount val="3"/>
                <c:pt idx="0">
                  <c:v>84.02</c:v>
                </c:pt>
                <c:pt idx="1">
                  <c:v>87.18</c:v>
                </c:pt>
                <c:pt idx="2">
                  <c:v>85.6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0845952"/>
        <c:axId val="680846512"/>
      </c:barChart>
      <c:catAx>
        <c:axId val="680845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80846512"/>
        <c:crosses val="autoZero"/>
        <c:auto val="1"/>
        <c:lblAlgn val="ctr"/>
        <c:lblOffset val="100"/>
        <c:noMultiLvlLbl val="0"/>
      </c:catAx>
      <c:valAx>
        <c:axId val="68084651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solidFill>
              <a:srgbClr val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80845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Sheet1!$B$2:$B$10</c:f>
              <c:strCache>
                <c:ptCount val="9"/>
                <c:pt idx="0">
                  <c:v>2016年第二季度</c:v>
                </c:pt>
                <c:pt idx="1">
                  <c:v>2016年第三季度</c:v>
                </c:pt>
                <c:pt idx="2">
                  <c:v>2016年第四季度</c:v>
                </c:pt>
                <c:pt idx="3">
                  <c:v>2017年第一季度</c:v>
                </c:pt>
                <c:pt idx="4">
                  <c:v>2017年第二季度</c:v>
                </c:pt>
                <c:pt idx="5">
                  <c:v>2017年第三季度</c:v>
                </c:pt>
                <c:pt idx="6">
                  <c:v>2018年第四季度</c:v>
                </c:pt>
                <c:pt idx="7">
                  <c:v>2018年第一季度</c:v>
                </c:pt>
                <c:pt idx="8">
                  <c:v>2018年第二季度</c:v>
                </c:pt>
              </c:strCache>
            </c:strRef>
          </c:cat>
          <c:val>
            <c:numRef>
              <c:f>Sheet1!$C$2:$C$10</c:f>
              <c:numCache>
                <c:formatCode>0.00</c:formatCode>
                <c:ptCount val="9"/>
                <c:pt idx="0">
                  <c:v>80.87</c:v>
                </c:pt>
                <c:pt idx="1">
                  <c:v>81.38</c:v>
                </c:pt>
                <c:pt idx="2">
                  <c:v>82.67</c:v>
                </c:pt>
                <c:pt idx="3">
                  <c:v>83.58</c:v>
                </c:pt>
                <c:pt idx="4">
                  <c:v>82.4</c:v>
                </c:pt>
                <c:pt idx="5">
                  <c:v>83.61</c:v>
                </c:pt>
                <c:pt idx="6">
                  <c:v>84.43</c:v>
                </c:pt>
                <c:pt idx="7">
                  <c:v>86.11</c:v>
                </c:pt>
                <c:pt idx="8">
                  <c:v>85.6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681971504"/>
        <c:axId val="681972064"/>
      </c:barChart>
      <c:catAx>
        <c:axId val="68197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81972064"/>
        <c:crosses val="autoZero"/>
        <c:auto val="1"/>
        <c:lblAlgn val="ctr"/>
        <c:lblOffset val="100"/>
        <c:noMultiLvlLbl val="0"/>
      </c:catAx>
      <c:valAx>
        <c:axId val="68197206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solidFill>
              <a:srgbClr val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81971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Sheet1!$B$2:$B$10</c:f>
              <c:strCache>
                <c:ptCount val="9"/>
                <c:pt idx="0">
                  <c:v>2016年第二季度</c:v>
                </c:pt>
                <c:pt idx="1">
                  <c:v>2016年第三季度</c:v>
                </c:pt>
                <c:pt idx="2">
                  <c:v>2016年第四季度</c:v>
                </c:pt>
                <c:pt idx="3">
                  <c:v>2017年第一季度</c:v>
                </c:pt>
                <c:pt idx="4">
                  <c:v>2017年第二季度</c:v>
                </c:pt>
                <c:pt idx="5">
                  <c:v>2017年第三季度</c:v>
                </c:pt>
                <c:pt idx="6">
                  <c:v>2018年第四季度</c:v>
                </c:pt>
                <c:pt idx="7">
                  <c:v>2018年第一季度</c:v>
                </c:pt>
                <c:pt idx="8">
                  <c:v>2018年第二季度</c:v>
                </c:pt>
              </c:strCache>
            </c:strRef>
          </c:cat>
          <c:val>
            <c:numRef>
              <c:f>Sheet1!$D$2:$D$10</c:f>
              <c:numCache>
                <c:formatCode>0.00</c:formatCode>
                <c:ptCount val="9"/>
                <c:pt idx="0">
                  <c:v>81.59</c:v>
                </c:pt>
                <c:pt idx="1">
                  <c:v>82.15</c:v>
                </c:pt>
                <c:pt idx="2">
                  <c:v>83.33</c:v>
                </c:pt>
                <c:pt idx="3">
                  <c:v>84.46</c:v>
                </c:pt>
                <c:pt idx="4">
                  <c:v>83.36</c:v>
                </c:pt>
                <c:pt idx="5">
                  <c:v>84.43</c:v>
                </c:pt>
                <c:pt idx="6">
                  <c:v>85.39</c:v>
                </c:pt>
                <c:pt idx="7">
                  <c:v>87.14</c:v>
                </c:pt>
                <c:pt idx="8">
                  <c:v>86.54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681974304"/>
        <c:axId val="681974864"/>
      </c:barChart>
      <c:catAx>
        <c:axId val="68197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81974864"/>
        <c:crosses val="autoZero"/>
        <c:auto val="1"/>
        <c:lblAlgn val="ctr"/>
        <c:lblOffset val="100"/>
        <c:noMultiLvlLbl val="0"/>
      </c:catAx>
      <c:valAx>
        <c:axId val="68197486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solidFill>
              <a:srgbClr val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81974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 sz="1000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Sheet1!$B$2:$B$10</c:f>
              <c:strCache>
                <c:ptCount val="9"/>
                <c:pt idx="0">
                  <c:v>2016年第二季度</c:v>
                </c:pt>
                <c:pt idx="1">
                  <c:v>2016年第三季度</c:v>
                </c:pt>
                <c:pt idx="2">
                  <c:v>2016年第四季度</c:v>
                </c:pt>
                <c:pt idx="3">
                  <c:v>2017年第一季度</c:v>
                </c:pt>
                <c:pt idx="4">
                  <c:v>2017年第二季度</c:v>
                </c:pt>
                <c:pt idx="5">
                  <c:v>2017年第三季度</c:v>
                </c:pt>
                <c:pt idx="6">
                  <c:v>2018年第四季度</c:v>
                </c:pt>
                <c:pt idx="7">
                  <c:v>2018年第一季度</c:v>
                </c:pt>
                <c:pt idx="8">
                  <c:v>2018年第二季度</c:v>
                </c:pt>
              </c:strCache>
            </c:strRef>
          </c:cat>
          <c:val>
            <c:numRef>
              <c:f>Sheet1!$E$2:$E$10</c:f>
              <c:numCache>
                <c:formatCode>0.00</c:formatCode>
                <c:ptCount val="9"/>
                <c:pt idx="0">
                  <c:v>78.28</c:v>
                </c:pt>
                <c:pt idx="1">
                  <c:v>79.05</c:v>
                </c:pt>
                <c:pt idx="2">
                  <c:v>80.45</c:v>
                </c:pt>
                <c:pt idx="3">
                  <c:v>80.900000000000006</c:v>
                </c:pt>
                <c:pt idx="4">
                  <c:v>79.05</c:v>
                </c:pt>
                <c:pt idx="5">
                  <c:v>80.48</c:v>
                </c:pt>
                <c:pt idx="6">
                  <c:v>80.64</c:v>
                </c:pt>
                <c:pt idx="7">
                  <c:v>81.88</c:v>
                </c:pt>
                <c:pt idx="8">
                  <c:v>81.64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681076016"/>
        <c:axId val="681076576"/>
      </c:barChart>
      <c:catAx>
        <c:axId val="68107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81076576"/>
        <c:crosses val="autoZero"/>
        <c:auto val="1"/>
        <c:lblAlgn val="ctr"/>
        <c:lblOffset val="100"/>
        <c:noMultiLvlLbl val="0"/>
      </c:catAx>
      <c:valAx>
        <c:axId val="68107657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solidFill>
              <a:srgbClr val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81076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 sz="1000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rgbClr val="C0504D"/>
  <a:srgbClr val="8064A2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罗鹏</dc:creator>
  <cp:keywords/>
  <dc:description/>
  <cp:lastModifiedBy>罗鹏</cp:lastModifiedBy>
  <cp:revision>2</cp:revision>
  <dcterms:created xsi:type="dcterms:W3CDTF">2018-09-10T08:36:00Z</dcterms:created>
  <dcterms:modified xsi:type="dcterms:W3CDTF">2018-09-10T08:36:00Z</dcterms:modified>
</cp:coreProperties>
</file>