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szCs w:val="32"/>
        </w:rPr>
      </w:pPr>
      <w:r>
        <w:rPr>
          <w:rFonts w:hint="eastAsia"/>
          <w:sz w:val="32"/>
          <w:szCs w:val="32"/>
        </w:rPr>
        <w:t>深圳市儿童早期发展科学育儿指导中心（站）建设指南</w:t>
      </w:r>
    </w:p>
    <w:p>
      <w:pPr>
        <w:ind w:firstLine="424" w:firstLineChars="202"/>
      </w:pPr>
      <w:r>
        <w:rPr>
          <w:rFonts w:hint="eastAsia"/>
        </w:rPr>
        <w:t>本指南规定了深圳市儿童早期发展科学育儿指导中心（站）一般要求、选址要求、安全要求、建设要求、服务功能区域、室内装修及环境要求、物品柜及教玩具要求、标识标牌等方面的要求。请各科学育儿指导中心（站）参考执行。</w:t>
      </w:r>
    </w:p>
    <w:p>
      <w:pPr>
        <w:pStyle w:val="2"/>
        <w:spacing w:before="0" w:after="0"/>
        <w:ind w:firstLine="562" w:firstLineChars="200"/>
        <w:rPr>
          <w:sz w:val="28"/>
          <w:szCs w:val="28"/>
        </w:rPr>
      </w:pPr>
      <w:bookmarkStart w:id="0" w:name="_Toc3214504"/>
      <w:r>
        <w:rPr>
          <w:rFonts w:hint="eastAsia"/>
          <w:sz w:val="28"/>
          <w:szCs w:val="28"/>
        </w:rPr>
        <w:t>一、一般要求</w:t>
      </w:r>
      <w:bookmarkEnd w:id="0"/>
    </w:p>
    <w:p>
      <w:pPr>
        <w:ind w:firstLine="422" w:firstLineChars="200"/>
        <w:rPr>
          <w:b/>
        </w:rPr>
      </w:pPr>
      <w:bookmarkStart w:id="1" w:name="_Toc3214505"/>
      <w:r>
        <w:rPr>
          <w:rFonts w:hint="eastAsia"/>
          <w:b/>
        </w:rPr>
        <w:t>（一）建设原则</w:t>
      </w:r>
      <w:bookmarkEnd w:id="1"/>
    </w:p>
    <w:p>
      <w:pPr>
        <w:ind w:firstLine="424" w:firstLineChars="202"/>
      </w:pPr>
      <w:r>
        <w:rPr>
          <w:rFonts w:hint="eastAsia"/>
        </w:rPr>
        <w:t>建设要求须符合(ZBBZH/GJ 30《建筑材料应用技术规范》要求。中心（站）的建设应具有防御各类重大意外灾害的能力和应对措施，并且安全、适用、经济、美观和节约用地。应按高于本地区抗震设防烈度一度的要求加强其抗震措施。当本地区抗震设防烈度为9度时，应按比9度更高的要求采取抗震措施。在抗震设防烈度6度及以上区域，严禁使用预制砼空心板及预制砼楼梯构件。</w:t>
      </w:r>
    </w:p>
    <w:p>
      <w:pPr>
        <w:ind w:firstLine="424" w:firstLineChars="202"/>
      </w:pPr>
      <w:r>
        <w:rPr>
          <w:rFonts w:hint="eastAsia"/>
        </w:rPr>
        <w:t>中心外应有停留区、接送区及人行便道。停留区禁止机动车和非机动车入内。中心内道路应便捷通畅，道路的高差处宜设坡道，主要道路宽度及转弯半径应符合消防车辆通行要求。利用原有设施改造或对原有建筑物进行过承重调整的中心（站），必须提供当地建筑工程验收相关部门出具的符合本标准要求的建筑物抗震规定的证明材料确。</w:t>
      </w:r>
    </w:p>
    <w:p>
      <w:pPr>
        <w:ind w:firstLine="422" w:firstLineChars="200"/>
        <w:rPr>
          <w:b/>
        </w:rPr>
      </w:pPr>
      <w:bookmarkStart w:id="2" w:name="_Toc3214506"/>
      <w:r>
        <w:rPr>
          <w:rFonts w:hint="eastAsia"/>
          <w:b/>
        </w:rPr>
        <w:t>（二）层级分类</w:t>
      </w:r>
      <w:bookmarkEnd w:id="2"/>
    </w:p>
    <w:p>
      <w:pPr>
        <w:ind w:firstLine="424" w:firstLineChars="202"/>
      </w:pPr>
      <w:r>
        <w:rPr>
          <w:rFonts w:hint="eastAsia"/>
        </w:rPr>
        <w:t>各区须建立一个区级科学育儿指导中心，各社区须建立一个社区科学育儿指导站，各街道可根据服务提供、服务场地建设等条件、按辖区的需求，增设一个街道科学育儿指导站。</w:t>
      </w:r>
    </w:p>
    <w:p>
      <w:pPr>
        <w:ind w:firstLine="422" w:firstLineChars="200"/>
        <w:rPr>
          <w:b/>
        </w:rPr>
      </w:pPr>
      <w:bookmarkStart w:id="3" w:name="_Toc3214507"/>
      <w:r>
        <w:rPr>
          <w:rFonts w:hint="eastAsia"/>
          <w:b/>
        </w:rPr>
        <w:t>1、社区科学育儿指导站</w:t>
      </w:r>
      <w:bookmarkEnd w:id="3"/>
    </w:p>
    <w:p>
      <w:pPr>
        <w:ind w:firstLine="424" w:firstLineChars="202"/>
      </w:pPr>
      <w:r>
        <w:rPr>
          <w:rFonts w:hint="eastAsia"/>
        </w:rPr>
        <w:t>儿童早期发展科学育儿知识的普及（宣传资料发放、宣传活动招募组织等），绘本分享及免费借阅，组织亲子活动等。</w:t>
      </w:r>
    </w:p>
    <w:p>
      <w:pPr>
        <w:ind w:firstLine="424" w:firstLineChars="202"/>
      </w:pPr>
      <w:r>
        <w:rPr>
          <w:rFonts w:hint="eastAsia"/>
        </w:rPr>
        <w:t>要求功能区：一级功能区；有条件的功能区可上调。</w:t>
      </w:r>
    </w:p>
    <w:p>
      <w:pPr>
        <w:ind w:firstLine="422" w:firstLineChars="200"/>
        <w:rPr>
          <w:b/>
        </w:rPr>
      </w:pPr>
      <w:bookmarkStart w:id="4" w:name="_Toc3214508"/>
      <w:r>
        <w:rPr>
          <w:rFonts w:hint="eastAsia"/>
          <w:b/>
        </w:rPr>
        <w:t>2、街道科学育儿指导站</w:t>
      </w:r>
      <w:bookmarkEnd w:id="4"/>
    </w:p>
    <w:p>
      <w:pPr>
        <w:ind w:firstLine="424" w:firstLineChars="202"/>
      </w:pPr>
      <w:r>
        <w:rPr>
          <w:rFonts w:hint="eastAsia"/>
        </w:rPr>
        <w:t>儿童早期发展科学育儿知识的普及（宣传资料发放、宣传活动招募组织等），绘本分享及免费借阅、营养和喂养指导、生长发育评价、开展亲子课程。</w:t>
      </w:r>
    </w:p>
    <w:p>
      <w:pPr>
        <w:ind w:firstLine="424" w:firstLineChars="202"/>
      </w:pPr>
      <w:r>
        <w:rPr>
          <w:rFonts w:hint="eastAsia"/>
        </w:rPr>
        <w:t>要求功能区：二级功能区；有条件的功能区可上调。</w:t>
      </w:r>
    </w:p>
    <w:p>
      <w:pPr>
        <w:ind w:firstLine="424" w:firstLineChars="202"/>
      </w:pPr>
      <w:r>
        <w:rPr>
          <w:rFonts w:hint="eastAsia"/>
        </w:rPr>
        <w:t>街道科学育儿指导站具有指导社区科学育儿指导站的职能。</w:t>
      </w:r>
    </w:p>
    <w:p>
      <w:pPr>
        <w:ind w:firstLine="422" w:firstLineChars="200"/>
        <w:rPr>
          <w:b/>
        </w:rPr>
      </w:pPr>
      <w:bookmarkStart w:id="5" w:name="_Toc3214509"/>
      <w:r>
        <w:rPr>
          <w:rFonts w:hint="eastAsia"/>
          <w:b/>
        </w:rPr>
        <w:t>3、区科学育儿指导中心</w:t>
      </w:r>
      <w:bookmarkEnd w:id="5"/>
    </w:p>
    <w:p>
      <w:pPr>
        <w:ind w:firstLine="424" w:firstLineChars="202"/>
      </w:pPr>
      <w:r>
        <w:rPr>
          <w:rFonts w:hint="eastAsia"/>
        </w:rPr>
        <w:t>负责制定并指导实施全区儿童早期发展科学育儿指导实施方案。</w:t>
      </w:r>
    </w:p>
    <w:p>
      <w:pPr>
        <w:ind w:firstLine="424" w:firstLineChars="202"/>
      </w:pPr>
      <w:r>
        <w:rPr>
          <w:rFonts w:hint="eastAsia"/>
        </w:rPr>
        <w:t>负责儿童早期发展科学育儿知识宣传倡导，如组织宣传资料编制、组织专业人员培训及全区大型宣传活动，组建宣讲专家库举办专题讲座等。建立0～3岁儿童成长档案，完善0～3岁儿童健康管理及健康促进工作。组织和推广ABCD快乐育儿法，绘本分享及免费借阅，开展亲子课程。积极参加教育、妇联等部门举办的“育儿讲堂”活动。可试点开展婴幼儿家庭访视、儿童免费筛查或体检等；区级科学育儿指导中心具有指导街道科学育儿指导站和社区科学育儿指导站的职能。</w:t>
      </w:r>
    </w:p>
    <w:p>
      <w:pPr>
        <w:ind w:firstLine="422" w:firstLineChars="200"/>
        <w:rPr>
          <w:b/>
        </w:rPr>
      </w:pPr>
      <w:bookmarkStart w:id="6" w:name="_Toc3214510"/>
      <w:r>
        <w:rPr>
          <w:rFonts w:hint="eastAsia"/>
          <w:b/>
        </w:rPr>
        <w:t>（三）面积要求</w:t>
      </w:r>
      <w:bookmarkEnd w:id="6"/>
    </w:p>
    <w:p>
      <w:pPr>
        <w:ind w:firstLine="424" w:firstLineChars="202"/>
      </w:pPr>
      <w:r>
        <w:rPr>
          <w:rFonts w:hint="eastAsia"/>
        </w:rPr>
        <w:t>1、社区科学育儿指导站</w:t>
      </w:r>
    </w:p>
    <w:p>
      <w:pPr>
        <w:ind w:firstLine="420" w:firstLineChars="200"/>
      </w:pPr>
      <w:r>
        <w:rPr>
          <w:rFonts w:hint="eastAsia"/>
        </w:rPr>
        <w:t>社区科学育儿指导站活动场地要求面积不低于50m</w:t>
      </w:r>
      <w:r>
        <w:rPr>
          <w:vertAlign w:val="superscript"/>
        </w:rPr>
        <w:t>2</w:t>
      </w:r>
      <w:r>
        <w:rPr>
          <w:rFonts w:hint="eastAsia"/>
        </w:rPr>
        <w:t>，包括独立使用场地或/和共用场地。</w:t>
      </w:r>
    </w:p>
    <w:p>
      <w:pPr>
        <w:ind w:firstLine="424" w:firstLineChars="202"/>
      </w:pPr>
      <w:r>
        <w:rPr>
          <w:rFonts w:hint="eastAsia"/>
        </w:rPr>
        <w:t>2、街道科学育儿指导站</w:t>
      </w:r>
    </w:p>
    <w:p>
      <w:pPr>
        <w:ind w:firstLine="424" w:firstLineChars="202"/>
      </w:pPr>
      <w:r>
        <w:rPr>
          <w:rFonts w:hint="eastAsia"/>
        </w:rPr>
        <w:t>街道级科学育儿指导站活动场地要求使用面积不小于100m</w:t>
      </w:r>
      <w:r>
        <w:rPr>
          <w:vertAlign w:val="superscript"/>
        </w:rPr>
        <w:t>2</w:t>
      </w:r>
      <w:r>
        <w:rPr>
          <w:rFonts w:hint="eastAsia"/>
        </w:rPr>
        <w:t>，包括独立使用场地或/和共用场地。</w:t>
      </w:r>
    </w:p>
    <w:p>
      <w:pPr>
        <w:ind w:firstLine="424" w:firstLineChars="202"/>
      </w:pPr>
      <w:r>
        <w:rPr>
          <w:rFonts w:hint="eastAsia"/>
        </w:rPr>
        <w:t>3、区科学育儿指导中心</w:t>
      </w:r>
    </w:p>
    <w:p>
      <w:pPr>
        <w:ind w:firstLine="424" w:firstLineChars="202"/>
      </w:pPr>
      <w:r>
        <w:rPr>
          <w:rFonts w:hint="eastAsia"/>
        </w:rPr>
        <w:t>区级科学育儿指导站活动场地要求使用面积不小于150m</w:t>
      </w:r>
      <w:r>
        <w:rPr>
          <w:vertAlign w:val="superscript"/>
        </w:rPr>
        <w:t>2</w:t>
      </w:r>
      <w:r>
        <w:rPr>
          <w:rFonts w:hint="eastAsia"/>
        </w:rPr>
        <w:t>，包括独立使用场地或/和共用场地。</w:t>
      </w:r>
    </w:p>
    <w:p>
      <w:pPr>
        <w:ind w:firstLine="422" w:firstLineChars="200"/>
        <w:rPr>
          <w:b/>
        </w:rPr>
      </w:pPr>
      <w:bookmarkStart w:id="7" w:name="_Toc3214511"/>
      <w:r>
        <w:rPr>
          <w:rFonts w:hint="eastAsia"/>
          <w:b/>
        </w:rPr>
        <w:t>（四）人员要求</w:t>
      </w:r>
      <w:bookmarkEnd w:id="7"/>
    </w:p>
    <w:p>
      <w:pPr>
        <w:ind w:firstLine="424" w:firstLineChars="202"/>
      </w:pPr>
      <w:r>
        <w:rPr>
          <w:rFonts w:hint="eastAsia"/>
        </w:rPr>
        <w:t>大专及以上学历，须经过儿童早期发展科学育儿上岗培训持证上岗。</w:t>
      </w:r>
    </w:p>
    <w:p>
      <w:pPr>
        <w:ind w:firstLine="422" w:firstLineChars="200"/>
        <w:rPr>
          <w:b/>
        </w:rPr>
      </w:pPr>
      <w:bookmarkStart w:id="8" w:name="_Toc3214512"/>
      <w:r>
        <w:rPr>
          <w:rFonts w:hint="eastAsia"/>
          <w:b/>
        </w:rPr>
        <w:t>（五）无障碍要求</w:t>
      </w:r>
      <w:bookmarkEnd w:id="8"/>
    </w:p>
    <w:p>
      <w:pPr>
        <w:ind w:firstLine="424" w:firstLineChars="202"/>
      </w:pPr>
      <w:r>
        <w:rPr>
          <w:rFonts w:hint="eastAsia"/>
        </w:rPr>
        <w:t>中心的入口处及道路、门厅、走廊和洗手间等应做无障碍处理，设立坡道，适合婴儿车及轮椅出入。</w:t>
      </w:r>
    </w:p>
    <w:p>
      <w:pPr>
        <w:ind w:firstLine="424" w:firstLineChars="202"/>
      </w:pPr>
      <w:r>
        <w:rPr>
          <w:rFonts w:hint="eastAsia"/>
        </w:rPr>
        <w:t>无障碍通道的宽度应符合GB 50763-2012中3.5.1的要求。室内走道不应小于1.20m，人流较多或较集中的大型公共建筑的室内走道宽度不宜小于1.80m。</w:t>
      </w:r>
    </w:p>
    <w:p>
      <w:pPr>
        <w:ind w:firstLine="424" w:firstLineChars="202"/>
      </w:pPr>
      <w:r>
        <w:rPr>
          <w:rFonts w:hint="eastAsia"/>
        </w:rPr>
        <w:t>无障碍通道应符合GB 50763-2012中3.5.2的要求。室外通道宽度不宜小于1.50m；无障碍通道应连续，其地面应平整、防滑、反光小或无反光，并不宜设置厚地毯；无障碍通道上有高差时，应设置轮椅坡道；室外通道上的雨水箅子的孔洞宽度不应大于15mm。</w:t>
      </w:r>
    </w:p>
    <w:p>
      <w:pPr>
        <w:pStyle w:val="2"/>
        <w:spacing w:before="0" w:after="0"/>
        <w:ind w:firstLine="562" w:firstLineChars="200"/>
        <w:rPr>
          <w:sz w:val="28"/>
          <w:szCs w:val="28"/>
        </w:rPr>
      </w:pPr>
      <w:bookmarkStart w:id="9" w:name="_Toc3214513"/>
      <w:r>
        <w:rPr>
          <w:rFonts w:hint="eastAsia"/>
          <w:sz w:val="28"/>
          <w:szCs w:val="28"/>
        </w:rPr>
        <w:t>二、选址要求</w:t>
      </w:r>
      <w:bookmarkEnd w:id="9"/>
    </w:p>
    <w:p>
      <w:pPr>
        <w:ind w:firstLine="424" w:firstLineChars="202"/>
      </w:pPr>
      <w:r>
        <w:rPr>
          <w:rFonts w:hint="eastAsia"/>
        </w:rPr>
        <w:t>中心（站）的选址应符合建标175-2016中的要求。</w:t>
      </w:r>
    </w:p>
    <w:p>
      <w:pPr>
        <w:ind w:firstLine="424" w:firstLineChars="202"/>
      </w:pPr>
      <w:r>
        <w:rPr>
          <w:rFonts w:hint="eastAsia"/>
        </w:rPr>
        <w:t>立足社区，应保证半径1km内的儿童及其父母(看护人)能够方便到达。宜靠近居住小区的绿化地带。</w:t>
      </w:r>
    </w:p>
    <w:p>
      <w:pPr>
        <w:ind w:firstLine="424" w:firstLineChars="202"/>
      </w:pPr>
      <w:r>
        <w:rPr>
          <w:rFonts w:hint="eastAsia"/>
        </w:rPr>
        <w:t>建立在有医疗功能的公共服务机构内的，必须与医疗区域有明确的物理分割，确保避免交叉感染。</w:t>
      </w:r>
    </w:p>
    <w:p>
      <w:pPr>
        <w:pStyle w:val="2"/>
        <w:spacing w:before="0" w:after="0"/>
        <w:ind w:firstLine="562" w:firstLineChars="200"/>
        <w:rPr>
          <w:sz w:val="28"/>
          <w:szCs w:val="28"/>
        </w:rPr>
      </w:pPr>
      <w:bookmarkStart w:id="10" w:name="_Toc3214514"/>
      <w:r>
        <w:rPr>
          <w:rFonts w:hint="eastAsia"/>
          <w:sz w:val="28"/>
          <w:szCs w:val="28"/>
        </w:rPr>
        <w:t>三、安全要求</w:t>
      </w:r>
      <w:bookmarkEnd w:id="10"/>
    </w:p>
    <w:p>
      <w:pPr>
        <w:ind w:firstLine="422" w:firstLineChars="200"/>
        <w:rPr>
          <w:b/>
        </w:rPr>
      </w:pPr>
      <w:bookmarkStart w:id="11" w:name="_Toc3214515"/>
      <w:r>
        <w:rPr>
          <w:rFonts w:hint="eastAsia"/>
          <w:b/>
        </w:rPr>
        <w:t>（一）安全要求</w:t>
      </w:r>
      <w:bookmarkEnd w:id="11"/>
    </w:p>
    <w:p>
      <w:pPr>
        <w:ind w:firstLine="424" w:firstLineChars="202"/>
      </w:pPr>
      <w:r>
        <w:rPr>
          <w:rFonts w:hint="eastAsia"/>
        </w:rPr>
        <w:t>科学育儿指导中心（站）安全设置，应符合DB 44/T 834-2010 《中小学校和幼儿园安全防范工程技术规范》、GB/T 29315-2012 《中小学、幼儿园安全技术防范系统要求》。</w:t>
      </w:r>
    </w:p>
    <w:p>
      <w:pPr>
        <w:ind w:firstLine="424" w:firstLineChars="202"/>
      </w:pPr>
      <w:r>
        <w:rPr>
          <w:rFonts w:hint="eastAsia"/>
        </w:rPr>
        <w:t>应统筹规划，坚持人防、物防、技防相结合的原则，以保障儿童、看护人和工作人员的人身安全为重点。</w:t>
      </w:r>
    </w:p>
    <w:p>
      <w:pPr>
        <w:ind w:firstLine="424" w:firstLineChars="202"/>
      </w:pPr>
      <w:r>
        <w:rPr>
          <w:rFonts w:hint="eastAsia"/>
        </w:rPr>
        <w:t>科学育儿指导中心（站）安全技术防范设置中使用的产品应符合DB 44/T 834-2010 《中小学校和幼儿园安全防范工程技术规范》、GB/T 29315-2012 《中小学、幼儿园安全技术防范系统要求》，经检验或认证合格，并防止造成对人员的伤害。</w:t>
      </w:r>
    </w:p>
    <w:p>
      <w:pPr>
        <w:ind w:firstLine="422" w:firstLineChars="200"/>
        <w:rPr>
          <w:b/>
        </w:rPr>
      </w:pPr>
      <w:bookmarkStart w:id="12" w:name="_Toc3214516"/>
      <w:r>
        <w:rPr>
          <w:rFonts w:hint="eastAsia"/>
          <w:b/>
        </w:rPr>
        <w:t>（二）消防安全要求</w:t>
      </w:r>
      <w:bookmarkEnd w:id="12"/>
    </w:p>
    <w:p>
      <w:pPr>
        <w:ind w:firstLine="424" w:firstLineChars="202"/>
      </w:pPr>
      <w:r>
        <w:rPr>
          <w:rFonts w:hint="eastAsia"/>
        </w:rPr>
        <w:t>房屋建筑防火必须符合规范性引用文件GB 50016-2014 《建筑设计防火规范》。建筑耐火等级：楼房不应低于二级，平房不应低于三级。所有建筑、装修材料均必须符合耐火等级要求。</w:t>
      </w:r>
    </w:p>
    <w:p>
      <w:pPr>
        <w:ind w:firstLine="422" w:firstLineChars="200"/>
        <w:rPr>
          <w:b/>
          <w:szCs w:val="21"/>
        </w:rPr>
      </w:pPr>
      <w:bookmarkStart w:id="13" w:name="_Toc3214517"/>
      <w:r>
        <w:rPr>
          <w:rFonts w:hint="eastAsia"/>
          <w:b/>
        </w:rPr>
        <w:t>1、</w:t>
      </w:r>
      <w:r>
        <w:rPr>
          <w:rFonts w:hint="eastAsia"/>
          <w:b/>
          <w:szCs w:val="21"/>
        </w:rPr>
        <w:t>楼层要求</w:t>
      </w:r>
      <w:bookmarkEnd w:id="13"/>
    </w:p>
    <w:p>
      <w:pPr>
        <w:ind w:firstLine="424" w:firstLineChars="202"/>
      </w:pPr>
      <w:r>
        <w:rPr>
          <w:rFonts w:hint="eastAsia"/>
        </w:rPr>
        <w:t>中心（站）宜设置在1楼或3楼以下楼层；</w:t>
      </w:r>
    </w:p>
    <w:p>
      <w:pPr>
        <w:ind w:firstLine="424" w:firstLineChars="202"/>
      </w:pPr>
      <w:r>
        <w:rPr>
          <w:rFonts w:hint="eastAsia"/>
        </w:rPr>
        <w:t>中心（站）应在1楼开展0-3岁婴幼儿活动，以便在发生突发事件时可以迅速撤离，确保儿童安全；楼梯应设置在建筑物的两侧，通向地面开放且安全的区域；楼梯严禁采用螺旋形或扇形踏步。</w:t>
      </w:r>
    </w:p>
    <w:p>
      <w:pPr>
        <w:ind w:firstLine="422" w:firstLineChars="200"/>
        <w:rPr>
          <w:b/>
          <w:szCs w:val="21"/>
        </w:rPr>
      </w:pPr>
      <w:bookmarkStart w:id="14" w:name="_Toc3214518"/>
      <w:r>
        <w:rPr>
          <w:rFonts w:hint="eastAsia"/>
          <w:b/>
          <w:szCs w:val="21"/>
        </w:rPr>
        <w:t>2、消防设备</w:t>
      </w:r>
      <w:bookmarkEnd w:id="14"/>
    </w:p>
    <w:p>
      <w:pPr>
        <w:ind w:firstLine="424" w:firstLineChars="202"/>
      </w:pPr>
      <w:r>
        <w:rPr>
          <w:rFonts w:hint="eastAsia"/>
        </w:rPr>
        <w:t>中心（站）应配备消防设备，配置灭火器；活动室要配置干粉灭火器和喷淋，可安装室内消火栓系统和自动报警设施；应按GB 50016-2014 《建筑设计防火规范》规定设置消防通道；合理设置安全疏散通道，保持畅通，并标明安全疏散通道的路线及位置。</w:t>
      </w:r>
    </w:p>
    <w:p>
      <w:pPr>
        <w:ind w:firstLine="424" w:firstLineChars="202"/>
      </w:pPr>
      <w:r>
        <w:rPr>
          <w:rFonts w:hint="eastAsia"/>
        </w:rPr>
        <w:t>应在安全疏散通道内设置2-3部应急照明灯。应每年接受消防部门的安全检查，并根据消防部门的警示及时整改 。中心（站）内严禁吸烟。</w:t>
      </w:r>
    </w:p>
    <w:p>
      <w:pPr>
        <w:ind w:firstLine="422" w:firstLineChars="200"/>
        <w:rPr>
          <w:b/>
          <w:szCs w:val="21"/>
        </w:rPr>
      </w:pPr>
      <w:bookmarkStart w:id="15" w:name="_Toc3214519"/>
      <w:r>
        <w:rPr>
          <w:rFonts w:hint="eastAsia"/>
          <w:b/>
          <w:szCs w:val="21"/>
        </w:rPr>
        <w:t>3、安全技术防范设施</w:t>
      </w:r>
      <w:bookmarkEnd w:id="15"/>
    </w:p>
    <w:p>
      <w:pPr>
        <w:ind w:firstLine="424" w:firstLineChars="202"/>
      </w:pPr>
      <w:r>
        <w:rPr>
          <w:rFonts w:hint="eastAsia"/>
        </w:rPr>
        <w:t>儿童活动场所应安装有监控摄像头，监控资料保存期限不小于15天。</w:t>
      </w:r>
    </w:p>
    <w:p>
      <w:pPr>
        <w:ind w:firstLine="422" w:firstLineChars="200"/>
        <w:rPr>
          <w:b/>
        </w:rPr>
      </w:pPr>
      <w:bookmarkStart w:id="16" w:name="_Toc3214520"/>
      <w:r>
        <w:rPr>
          <w:rFonts w:hint="eastAsia"/>
          <w:b/>
        </w:rPr>
        <w:t>（三）用电安全</w:t>
      </w:r>
      <w:bookmarkEnd w:id="16"/>
    </w:p>
    <w:p>
      <w:pPr>
        <w:ind w:firstLine="424" w:firstLineChars="202"/>
      </w:pPr>
      <w:r>
        <w:rPr>
          <w:rFonts w:hint="eastAsia"/>
        </w:rPr>
        <w:t>中心内的各类用电设备须与线路、开关相匹配。</w:t>
      </w:r>
    </w:p>
    <w:p>
      <w:pPr>
        <w:ind w:firstLine="424" w:firstLineChars="202"/>
      </w:pPr>
      <w:r>
        <w:rPr>
          <w:rFonts w:hint="eastAsia"/>
        </w:rPr>
        <w:t>在婴幼儿参与活动的场所，须使用儿童安全插座,必要时可将电源插座的位置提高至离地面1.70m以上并有保护盖板，以确保婴幼儿安全。</w:t>
      </w:r>
    </w:p>
    <w:p>
      <w:pPr>
        <w:ind w:firstLine="424" w:firstLineChars="202"/>
      </w:pPr>
      <w:r>
        <w:rPr>
          <w:rFonts w:hint="eastAsia"/>
        </w:rPr>
        <w:t>地毯和地垫下，不得有电源或电线。安全标准要符合《电力法》、《用电检查管理办法》、《电力供应与使用条例》和《电力设备预防性实验规程》。</w:t>
      </w:r>
    </w:p>
    <w:p>
      <w:pPr>
        <w:ind w:firstLine="422" w:firstLineChars="200"/>
        <w:rPr>
          <w:b/>
        </w:rPr>
      </w:pPr>
      <w:bookmarkStart w:id="17" w:name="_Toc3214521"/>
      <w:r>
        <w:rPr>
          <w:rFonts w:hint="eastAsia"/>
          <w:b/>
        </w:rPr>
        <w:t>（四）设施安全要求</w:t>
      </w:r>
      <w:bookmarkEnd w:id="17"/>
    </w:p>
    <w:p>
      <w:pPr>
        <w:ind w:firstLine="422" w:firstLineChars="200"/>
        <w:rPr>
          <w:b/>
          <w:szCs w:val="21"/>
        </w:rPr>
      </w:pPr>
      <w:bookmarkStart w:id="18" w:name="_Toc3214522"/>
      <w:r>
        <w:rPr>
          <w:rFonts w:hint="eastAsia"/>
          <w:b/>
          <w:szCs w:val="21"/>
        </w:rPr>
        <w:t>1、门及防夹手措施</w:t>
      </w:r>
      <w:bookmarkEnd w:id="18"/>
    </w:p>
    <w:p>
      <w:pPr>
        <w:ind w:firstLine="424" w:firstLineChars="202"/>
      </w:pPr>
      <w:r>
        <w:rPr>
          <w:rFonts w:hint="eastAsia"/>
        </w:rPr>
        <w:t>婴幼儿可接触到的门、橱柜应确保内外都能打开；日常不作为进出通道的房门，可设置为只能从内向外推开。门的双面均宜平滑，无棱角，不应设置门槛和弹簧门。</w:t>
      </w:r>
    </w:p>
    <w:p>
      <w:pPr>
        <w:ind w:firstLine="424" w:firstLineChars="202"/>
      </w:pPr>
      <w:r>
        <w:rPr>
          <w:rFonts w:hint="eastAsia"/>
        </w:rPr>
        <w:t>屋门及婴幼儿可触及的柜门应进行防夹手处理，防止婴幼儿手指主动或被动被夹。</w:t>
      </w:r>
    </w:p>
    <w:p>
      <w:pPr>
        <w:ind w:firstLine="422" w:firstLineChars="200"/>
        <w:rPr>
          <w:b/>
          <w:szCs w:val="21"/>
        </w:rPr>
      </w:pPr>
      <w:bookmarkStart w:id="19" w:name="_Toc3214523"/>
      <w:r>
        <w:rPr>
          <w:rFonts w:hint="eastAsia"/>
          <w:b/>
          <w:szCs w:val="21"/>
        </w:rPr>
        <w:t>2、门边平台及通道</w:t>
      </w:r>
      <w:bookmarkEnd w:id="19"/>
    </w:p>
    <w:p>
      <w:pPr>
        <w:ind w:firstLine="424" w:firstLineChars="202"/>
      </w:pPr>
      <w:r>
        <w:rPr>
          <w:rFonts w:hint="eastAsia"/>
        </w:rPr>
        <w:t>门边应保留平台，以避免推门时伤及他人。平台的宽度应大于门的宽度。中心(站)内的单向走廊净宽不应小于1.5m，双面布房走廊净宽不应小于1.8m；安全出口门和房间疏散门的净宽不应小于0.9m。</w:t>
      </w:r>
    </w:p>
    <w:p>
      <w:pPr>
        <w:ind w:firstLine="422" w:firstLineChars="200"/>
        <w:rPr>
          <w:b/>
          <w:szCs w:val="21"/>
        </w:rPr>
      </w:pPr>
      <w:bookmarkStart w:id="20" w:name="_Toc3214524"/>
      <w:r>
        <w:rPr>
          <w:rFonts w:hint="eastAsia"/>
          <w:b/>
          <w:szCs w:val="21"/>
        </w:rPr>
        <w:t>3、楼梯的高度、宽度及栏杆</w:t>
      </w:r>
      <w:bookmarkEnd w:id="20"/>
    </w:p>
    <w:p>
      <w:pPr>
        <w:ind w:firstLine="424" w:firstLineChars="202"/>
      </w:pPr>
      <w:r>
        <w:rPr>
          <w:rFonts w:hint="eastAsia"/>
        </w:rPr>
        <w:t>中心(站)楼梯的梯级高度应适合婴幼儿的使用。楼梯踏步高度不应大于0.15m，宽度不应小于0.26m，楼梯井宽度不应大于0.20m。</w:t>
      </w:r>
    </w:p>
    <w:p>
      <w:pPr>
        <w:ind w:firstLine="424" w:firstLineChars="202"/>
      </w:pPr>
      <w:r>
        <w:rPr>
          <w:rFonts w:hint="eastAsia"/>
        </w:rPr>
        <w:t>扶手端部应无棱角。中心(站)楼梯及扶手的设计符合JGJ 39-2016中要求。中心楼梯须有栏杆，并且保证栏杆间距小于0.11m，以免婴幼儿从中间坠落。栏杆须为纵向，以避免攀爬。鼓励设置适合婴幼儿使用的扶手，高度不应大于0.60m。</w:t>
      </w:r>
    </w:p>
    <w:p>
      <w:pPr>
        <w:ind w:firstLine="422" w:firstLineChars="200"/>
        <w:rPr>
          <w:b/>
          <w:szCs w:val="21"/>
        </w:rPr>
      </w:pPr>
      <w:bookmarkStart w:id="21" w:name="_Toc3214525"/>
      <w:r>
        <w:rPr>
          <w:rFonts w:hint="eastAsia"/>
          <w:b/>
          <w:szCs w:val="21"/>
        </w:rPr>
        <w:t>4、窗户及玻璃门窗</w:t>
      </w:r>
      <w:bookmarkEnd w:id="21"/>
    </w:p>
    <w:p>
      <w:pPr>
        <w:ind w:firstLine="424" w:firstLineChars="202"/>
      </w:pPr>
      <w:r>
        <w:rPr>
          <w:rFonts w:hint="eastAsia"/>
        </w:rPr>
        <w:t>中心(站)的窗户应能够自由开启。紧急情况下，中心工作人员应能够及时完全打开窗户。</w:t>
      </w:r>
    </w:p>
    <w:p>
      <w:pPr>
        <w:ind w:firstLine="424" w:firstLineChars="202"/>
      </w:pPr>
      <w:r>
        <w:rPr>
          <w:rFonts w:hint="eastAsia"/>
        </w:rPr>
        <w:t>窗户及玻璃墙应进行防护处理，以免儿童坠落。玻璃墙内侧必须装有防护栏，栏间距小于0.11米，防护栏应避免使用攀爬式。窗台前不得堆放杂物，严禁安放橱柜，避免婴幼儿攀爬坠落。</w:t>
      </w:r>
    </w:p>
    <w:p>
      <w:pPr>
        <w:ind w:firstLine="424" w:firstLineChars="202"/>
      </w:pPr>
      <w:r>
        <w:rPr>
          <w:rFonts w:hint="eastAsia"/>
        </w:rPr>
        <w:t>玻璃门、窗应使用防爆玻璃或贴防爆膜，并贴画以提醒婴幼儿及其父母(看护人)注意安全。</w:t>
      </w:r>
    </w:p>
    <w:p>
      <w:pPr>
        <w:ind w:firstLine="422" w:firstLineChars="200"/>
        <w:rPr>
          <w:b/>
          <w:szCs w:val="21"/>
        </w:rPr>
      </w:pPr>
      <w:bookmarkStart w:id="22" w:name="_Toc3214526"/>
      <w:r>
        <w:rPr>
          <w:rFonts w:hint="eastAsia"/>
          <w:b/>
          <w:szCs w:val="21"/>
        </w:rPr>
        <w:t>5、儿童安全措施</w:t>
      </w:r>
      <w:bookmarkEnd w:id="22"/>
    </w:p>
    <w:p>
      <w:pPr>
        <w:ind w:firstLine="424" w:firstLineChars="202"/>
      </w:pPr>
      <w:r>
        <w:rPr>
          <w:rFonts w:hint="eastAsia"/>
        </w:rPr>
        <w:t>中心（站）内潮湿区域应放置防滑垫；中心（站）1.20 m以下的墙面应进行软包，软包材料应安全环保。墙角、角柱等处应设防护条。</w:t>
      </w:r>
    </w:p>
    <w:p>
      <w:pPr>
        <w:ind w:firstLine="424" w:firstLineChars="202"/>
      </w:pPr>
      <w:r>
        <w:rPr>
          <w:rFonts w:hint="eastAsia"/>
        </w:rPr>
        <w:t>儿童活动的主要场所必须设置软地垫。软地垫须采用环保地垫、亲子软地垫等防水、易重复擦洗清洁的材料。儿童可能接触到的环境要柔软，平滑，如椅柜的边角应是弧形的，橱柜的把手使用嵌入式等，以避免磕碰致伤。</w:t>
      </w:r>
    </w:p>
    <w:p>
      <w:pPr>
        <w:pStyle w:val="2"/>
        <w:spacing w:before="0" w:after="0"/>
        <w:ind w:firstLine="562" w:firstLineChars="200"/>
        <w:rPr>
          <w:sz w:val="28"/>
          <w:szCs w:val="28"/>
        </w:rPr>
      </w:pPr>
      <w:bookmarkStart w:id="23" w:name="_Toc3214527"/>
      <w:r>
        <w:rPr>
          <w:rFonts w:hint="eastAsia"/>
          <w:sz w:val="28"/>
          <w:szCs w:val="28"/>
        </w:rPr>
        <w:t>四、服务功能区域</w:t>
      </w:r>
      <w:bookmarkEnd w:id="23"/>
      <w:r>
        <w:rPr>
          <w:rFonts w:hint="eastAsia"/>
          <w:sz w:val="28"/>
          <w:szCs w:val="28"/>
        </w:rPr>
        <w:t xml:space="preserve"> </w:t>
      </w:r>
    </w:p>
    <w:p>
      <w:pPr>
        <w:ind w:firstLine="422" w:firstLineChars="200"/>
        <w:rPr>
          <w:b/>
        </w:rPr>
      </w:pPr>
      <w:bookmarkStart w:id="24" w:name="_Toc3214528"/>
      <w:r>
        <w:rPr>
          <w:rFonts w:hint="eastAsia"/>
          <w:b/>
        </w:rPr>
        <w:t>（一）服务功能要求</w:t>
      </w:r>
      <w:bookmarkEnd w:id="24"/>
    </w:p>
    <w:p>
      <w:pPr>
        <w:ind w:firstLine="424" w:firstLineChars="202"/>
      </w:pPr>
      <w:r>
        <w:rPr>
          <w:rFonts w:hint="eastAsia"/>
        </w:rPr>
        <w:t>依据行政区划设定原则上要建立区、街道、社区三级网络。不同级别设置不同功能要求。</w:t>
      </w:r>
    </w:p>
    <w:p>
      <w:pPr>
        <w:ind w:firstLine="424" w:firstLineChars="202"/>
      </w:pPr>
      <w:r>
        <w:rPr>
          <w:rFonts w:hint="eastAsia"/>
        </w:rPr>
        <w:t>一级功能区：等候区、游戏区、阅读区。</w:t>
      </w:r>
    </w:p>
    <w:p>
      <w:pPr>
        <w:ind w:firstLine="424" w:firstLineChars="202"/>
      </w:pPr>
      <w:r>
        <w:rPr>
          <w:rFonts w:hint="eastAsia"/>
        </w:rPr>
        <w:t>二级功能区：除包含一级功能区外，还应包含婴幼儿营养和喂养、体格生长评价、0～6岁儿童心理行为发育问题预警征象筛查等提供儿童保健服务区域，亲子活动室。</w:t>
      </w:r>
    </w:p>
    <w:p>
      <w:pPr>
        <w:ind w:firstLine="424" w:firstLineChars="202"/>
      </w:pPr>
      <w:r>
        <w:rPr>
          <w:rFonts w:hint="eastAsia"/>
        </w:rPr>
        <w:t>三级功能区：除包含一级、二级功能区外，还应包含营养性疾病管理、利用NBNA、0～1岁婴儿神经运动检查20项等工具进行神经行为发育监测与评估、儿童中医药管理、儿童五官保健等提供儿童保健服务区域，亲子活动室。</w:t>
      </w:r>
    </w:p>
    <w:p>
      <w:pPr>
        <w:ind w:firstLine="424" w:firstLineChars="202"/>
      </w:pPr>
      <w:r>
        <w:rPr>
          <w:rFonts w:hint="eastAsia"/>
        </w:rPr>
        <w:t>特级功能区：满足一级、二级、三级功能区要求的同时还应包含儿童游戏活动区及户外活动区。</w:t>
      </w:r>
    </w:p>
    <w:p>
      <w:pPr>
        <w:ind w:firstLine="422" w:firstLineChars="200"/>
        <w:rPr>
          <w:b/>
        </w:rPr>
      </w:pPr>
      <w:bookmarkStart w:id="25" w:name="_Toc3214529"/>
      <w:r>
        <w:rPr>
          <w:rFonts w:hint="eastAsia"/>
          <w:b/>
        </w:rPr>
        <w:t>（二）</w:t>
      </w:r>
      <w:bookmarkEnd w:id="25"/>
      <w:r>
        <w:rPr>
          <w:rFonts w:hint="eastAsia"/>
          <w:b/>
        </w:rPr>
        <w:t>重点功能区域设置参考标准</w:t>
      </w:r>
    </w:p>
    <w:p>
      <w:pPr>
        <w:ind w:firstLine="420" w:firstLineChars="200"/>
        <w:rPr>
          <w:rFonts w:hint="eastAsia"/>
        </w:rPr>
      </w:pPr>
      <w:r>
        <w:rPr>
          <w:rFonts w:hint="eastAsia"/>
        </w:rPr>
        <w:t>以下列举出科学育儿指导中心（站）重点功能区域设置参考标准，科学育儿指导中心（站）在选取功能设置后应符合以下标准要求。</w:t>
      </w:r>
    </w:p>
    <w:p>
      <w:pPr>
        <w:ind w:firstLine="420" w:firstLineChars="200"/>
      </w:pPr>
      <w:r>
        <w:rPr>
          <w:rFonts w:hint="eastAsia"/>
        </w:rPr>
        <w:t>1、</w:t>
      </w:r>
      <w:r>
        <w:rPr>
          <w:rFonts w:hint="eastAsia"/>
          <w:b/>
        </w:rPr>
        <w:t>等候区</w:t>
      </w:r>
    </w:p>
    <w:p>
      <w:pPr>
        <w:ind w:firstLine="424" w:firstLineChars="202"/>
      </w:pPr>
      <w:r>
        <w:rPr>
          <w:rFonts w:hint="eastAsia"/>
        </w:rPr>
        <w:t>配置饮水机，饮水机应符合国家电器使用安全标准，具备不少于3档的恒温功能，热水应有儿童锁功能，水质应符合GB17323-1998, GB 5749-2006的要求。</w:t>
      </w:r>
    </w:p>
    <w:p>
      <w:pPr>
        <w:ind w:firstLine="424" w:firstLineChars="202"/>
      </w:pPr>
      <w:r>
        <w:rPr>
          <w:rFonts w:hint="eastAsia"/>
        </w:rPr>
        <w:t>设童车放置区、接待台、饮水机、家长休息区。若进入活动区，需脱鞋穿袜（配鞋柜、洗手池、消毒液、体温枪等）。饮水机应符合国家电器使用安全标准，饮水机水源符合GB17323-1998瓶装饮用水水质标准，并具备不少于3档的恒温功能，热水需有儿童锁功能。</w:t>
      </w:r>
    </w:p>
    <w:p>
      <w:pPr>
        <w:ind w:firstLine="422" w:firstLineChars="200"/>
        <w:rPr>
          <w:b/>
        </w:rPr>
      </w:pPr>
      <w:bookmarkStart w:id="26" w:name="_Toc3214530"/>
      <w:r>
        <w:rPr>
          <w:rFonts w:hint="eastAsia"/>
          <w:b/>
        </w:rPr>
        <w:t>2、测评室/区</w:t>
      </w:r>
      <w:bookmarkEnd w:id="26"/>
    </w:p>
    <w:p>
      <w:pPr>
        <w:ind w:firstLine="424" w:firstLineChars="202"/>
      </w:pPr>
      <w:r>
        <w:rPr>
          <w:rFonts w:hint="eastAsia"/>
        </w:rPr>
        <w:t>设婴幼儿早期发展测评室/区，配置电脑打印机、测评软件及工具箱等，并为婴幼儿父母(看护人)提供咨询，同时保护测评人隐私。</w:t>
      </w:r>
    </w:p>
    <w:p>
      <w:pPr>
        <w:ind w:firstLine="422" w:firstLineChars="200"/>
        <w:rPr>
          <w:b/>
        </w:rPr>
      </w:pPr>
      <w:bookmarkStart w:id="27" w:name="_Toc3214531"/>
      <w:r>
        <w:rPr>
          <w:rFonts w:hint="eastAsia"/>
          <w:b/>
        </w:rPr>
        <w:t>3、游戏活动区</w:t>
      </w:r>
      <w:bookmarkEnd w:id="27"/>
    </w:p>
    <w:p>
      <w:pPr>
        <w:ind w:firstLine="424" w:firstLineChars="202"/>
      </w:pPr>
      <w:r>
        <w:rPr>
          <w:rFonts w:hint="eastAsia"/>
        </w:rPr>
        <w:t xml:space="preserve">游戏活动区应铺设地垫，并根据婴幼儿的月龄、个体差异等配置数量充足的玩具。 </w:t>
      </w:r>
    </w:p>
    <w:p>
      <w:pPr>
        <w:ind w:firstLine="424" w:firstLineChars="202"/>
      </w:pPr>
      <w:r>
        <w:rPr>
          <w:rFonts w:hint="eastAsia"/>
        </w:rPr>
        <w:t>游戏活动区的玩具和材料应具多元性和整合性，如大型泡沫、塑料积木或拼接玩具、墙面操作板等，以满足婴幼儿的感知需求。</w:t>
      </w:r>
    </w:p>
    <w:p>
      <w:pPr>
        <w:ind w:firstLine="422" w:firstLineChars="200"/>
        <w:rPr>
          <w:b/>
        </w:rPr>
      </w:pPr>
      <w:bookmarkStart w:id="28" w:name="_Toc3214532"/>
      <w:r>
        <w:rPr>
          <w:rFonts w:hint="eastAsia"/>
          <w:b/>
        </w:rPr>
        <w:t>4、阅读区</w:t>
      </w:r>
      <w:bookmarkEnd w:id="28"/>
    </w:p>
    <w:p>
      <w:pPr>
        <w:ind w:firstLine="424" w:firstLineChars="202"/>
      </w:pPr>
      <w:r>
        <w:rPr>
          <w:rFonts w:hint="eastAsia"/>
        </w:rPr>
        <w:t>阅读区应配置数量充足的，适合不同婴幼儿月龄的绘本，包括布书、纸板书、手偶书、触摸书、玩具书等。</w:t>
      </w:r>
    </w:p>
    <w:p>
      <w:pPr>
        <w:ind w:firstLine="424" w:firstLineChars="202"/>
      </w:pPr>
      <w:r>
        <w:rPr>
          <w:rFonts w:hint="eastAsia"/>
        </w:rPr>
        <w:t>应配备相应的儿童用书架，高80-90cm，摆放方式需呈现绘本封面。</w:t>
      </w:r>
    </w:p>
    <w:p>
      <w:pPr>
        <w:ind w:firstLine="422" w:firstLineChars="200"/>
        <w:rPr>
          <w:b/>
        </w:rPr>
      </w:pPr>
      <w:bookmarkStart w:id="29" w:name="_Toc3214533"/>
      <w:r>
        <w:rPr>
          <w:rFonts w:hint="eastAsia"/>
          <w:b/>
        </w:rPr>
        <w:t>5、生活情景体验区</w:t>
      </w:r>
      <w:bookmarkEnd w:id="29"/>
    </w:p>
    <w:p>
      <w:pPr>
        <w:ind w:firstLine="424" w:firstLineChars="202"/>
      </w:pPr>
      <w:r>
        <w:rPr>
          <w:rFonts w:hint="eastAsia"/>
        </w:rPr>
        <w:t>设各种自然的生活情景，从婴幼儿的实际生活着手，以其感兴趣的生活为主要体验内容，配备如我来当妈妈、小小厨师、小小牙医、小小消防员、小小售货员、小小奶牛工等多角色体验。</w:t>
      </w:r>
    </w:p>
    <w:p>
      <w:pPr>
        <w:ind w:firstLine="422" w:firstLineChars="200"/>
        <w:rPr>
          <w:b/>
        </w:rPr>
      </w:pPr>
      <w:bookmarkStart w:id="30" w:name="_Toc3214534"/>
      <w:r>
        <w:rPr>
          <w:rFonts w:hint="eastAsia"/>
          <w:b/>
        </w:rPr>
        <w:t>6、婴幼儿抚触室</w:t>
      </w:r>
      <w:bookmarkEnd w:id="30"/>
    </w:p>
    <w:p>
      <w:pPr>
        <w:ind w:firstLine="424" w:firstLineChars="202"/>
      </w:pPr>
      <w:r>
        <w:rPr>
          <w:rFonts w:hint="eastAsia"/>
        </w:rPr>
        <w:t>婴幼儿抚触室应配置抚触台、大毛巾、婴儿油、音响等（配备冷暖空调），帮助家长学会抚触基本技术并在家庭中操作，参考深圳市母婴室建设标准指引（试行）。</w:t>
      </w:r>
    </w:p>
    <w:p>
      <w:pPr>
        <w:ind w:firstLine="422" w:firstLineChars="200"/>
        <w:rPr>
          <w:b/>
        </w:rPr>
      </w:pPr>
      <w:bookmarkStart w:id="31" w:name="_Toc3214535"/>
      <w:r>
        <w:rPr>
          <w:rFonts w:hint="eastAsia"/>
          <w:b/>
        </w:rPr>
        <w:t>7、早期发展亲子课程课室</w:t>
      </w:r>
      <w:bookmarkEnd w:id="31"/>
    </w:p>
    <w:p>
      <w:pPr>
        <w:ind w:firstLine="424" w:firstLineChars="202"/>
      </w:pPr>
      <w:r>
        <w:rPr>
          <w:rFonts w:hint="eastAsia"/>
        </w:rPr>
        <w:t>根据实际面积，选择设置至少要一个亲子活动课室，为0-3岁婴幼儿的亲子课程服务。每个课室面积不小于35 m</w:t>
      </w:r>
      <w:r>
        <w:rPr>
          <w:vertAlign w:val="superscript"/>
        </w:rPr>
        <w:t>2</w:t>
      </w:r>
      <w:r>
        <w:rPr>
          <w:rFonts w:hint="eastAsia"/>
        </w:rPr>
        <w:t>,配地垫、1.2m以下软包、教具及教具柜、音响设备、挂钟等，若课室和家长学校宣讲室共用，需配备投影仪及活动课桌椅。</w:t>
      </w:r>
    </w:p>
    <w:p>
      <w:pPr>
        <w:ind w:firstLine="424" w:firstLineChars="202"/>
      </w:pPr>
      <w:r>
        <w:rPr>
          <w:rFonts w:hint="eastAsia"/>
        </w:rPr>
        <w:t>墙面以淡黄色，粉红色，嫩绿色等明亮的颜色为主，墙面应避免过于花哨分散孩子的注意力。室内光线均匀，柔和不刺眼。</w:t>
      </w:r>
    </w:p>
    <w:p>
      <w:pPr>
        <w:ind w:firstLine="422" w:firstLineChars="200"/>
        <w:rPr>
          <w:b/>
        </w:rPr>
      </w:pPr>
      <w:bookmarkStart w:id="32" w:name="_Toc3214536"/>
      <w:r>
        <w:rPr>
          <w:rFonts w:hint="eastAsia"/>
          <w:b/>
        </w:rPr>
        <w:t>8、洗手间及洗手区</w:t>
      </w:r>
      <w:bookmarkEnd w:id="32"/>
    </w:p>
    <w:p>
      <w:pPr>
        <w:ind w:firstLine="424" w:firstLineChars="202"/>
      </w:pPr>
      <w:r>
        <w:rPr>
          <w:rFonts w:hint="eastAsia"/>
        </w:rPr>
        <w:t>除成人洗手间外，可配置适合婴幼儿使用的大小便池、洗手台。洗手间位置可设置在活动区的同一个楼层，门须容易被婴幼儿打开。婴幼儿不可单独使用洗手间。</w:t>
      </w:r>
    </w:p>
    <w:p>
      <w:pPr>
        <w:ind w:firstLine="424" w:firstLineChars="202"/>
      </w:pPr>
      <w:r>
        <w:rPr>
          <w:rFonts w:hint="eastAsia"/>
        </w:rPr>
        <w:t>应设立适合婴幼儿高度和手臂长度的洗手区。洗手池高度宜为0.50m-0.55m，洗手池宽度宜为0.40m-0.45m米，洗手池水龙头离婴幼儿洗手位置应不超过0.25m。并配有适合婴幼儿使用的洗手液或清洁用品。应在洗手间和洗手区铺设防滑垫，采取地面防滑措施。</w:t>
      </w:r>
    </w:p>
    <w:p>
      <w:pPr>
        <w:ind w:firstLine="422" w:firstLineChars="200"/>
        <w:rPr>
          <w:b/>
        </w:rPr>
      </w:pPr>
      <w:bookmarkStart w:id="33" w:name="_Toc3214537"/>
      <w:r>
        <w:rPr>
          <w:rFonts w:hint="eastAsia"/>
          <w:b/>
        </w:rPr>
        <w:t>9、哺乳区和换尿布台</w:t>
      </w:r>
      <w:bookmarkEnd w:id="33"/>
    </w:p>
    <w:p>
      <w:pPr>
        <w:ind w:firstLine="424" w:firstLineChars="202"/>
      </w:pPr>
      <w:r>
        <w:rPr>
          <w:rFonts w:hint="eastAsia"/>
        </w:rPr>
        <w:t>哺乳区应设置婴儿换尿布台。应在哺乳区出入口处设置“男士禁入”标识。</w:t>
      </w:r>
    </w:p>
    <w:p>
      <w:pPr>
        <w:ind w:firstLine="424" w:firstLineChars="202"/>
      </w:pPr>
      <w:r>
        <w:rPr>
          <w:rFonts w:hint="eastAsia"/>
        </w:rPr>
        <w:t>哺乳区应通过隔墙或拉帘与护理区、休憩区隔开。空间允许情况下，可将哺乳区分隔为若干独立的哺乳单间。哺乳区入口宜安装封闭门，空间有限情况下可采用拉帘，拉帘轨道应设置牢固，两边需有固定装置。</w:t>
      </w:r>
    </w:p>
    <w:p>
      <w:pPr>
        <w:ind w:firstLine="424" w:firstLineChars="202"/>
      </w:pPr>
      <w:r>
        <w:rPr>
          <w:rFonts w:hint="eastAsia"/>
        </w:rPr>
        <w:t>靠背椅或沙发应符合QB/T 1952.1-2012《软体家具 沙发》规定，牢固耐用，靠背及坐垫软硬适中，并有扶手支撑母亲手臂。踏脚凳离地高度0.07m-0.15m，结构牢固不松动，角度及高度应可调。宜采用踩踏式或感应式开盖的垃圾桶。</w:t>
      </w:r>
    </w:p>
    <w:p>
      <w:pPr>
        <w:ind w:firstLine="422" w:firstLineChars="200"/>
        <w:rPr>
          <w:b/>
        </w:rPr>
      </w:pPr>
      <w:bookmarkStart w:id="34" w:name="_Toc3214538"/>
      <w:r>
        <w:rPr>
          <w:rFonts w:hint="eastAsia"/>
          <w:b/>
        </w:rPr>
        <w:t>10、儿童保健服务区</w:t>
      </w:r>
      <w:bookmarkEnd w:id="34"/>
    </w:p>
    <w:p>
      <w:pPr>
        <w:ind w:firstLine="424" w:firstLineChars="202"/>
      </w:pPr>
      <w:r>
        <w:rPr>
          <w:rFonts w:hint="eastAsia"/>
        </w:rPr>
        <w:t>儿童保健服务区的设置符合深圳市妇幼保健工作规范和妇幼保健专科建设和管理指南（试行）的规定。</w:t>
      </w:r>
    </w:p>
    <w:p>
      <w:pPr>
        <w:pStyle w:val="2"/>
        <w:spacing w:before="0" w:after="0"/>
        <w:ind w:firstLine="562" w:firstLineChars="200"/>
        <w:rPr>
          <w:sz w:val="28"/>
          <w:szCs w:val="28"/>
        </w:rPr>
      </w:pPr>
      <w:bookmarkStart w:id="35" w:name="_Toc3214539"/>
      <w:r>
        <w:rPr>
          <w:rFonts w:hint="eastAsia"/>
          <w:sz w:val="28"/>
          <w:szCs w:val="28"/>
        </w:rPr>
        <w:t>五、室内装修及环境要求</w:t>
      </w:r>
      <w:bookmarkEnd w:id="35"/>
    </w:p>
    <w:p>
      <w:pPr>
        <w:ind w:firstLine="422" w:firstLineChars="200"/>
        <w:rPr>
          <w:b/>
        </w:rPr>
      </w:pPr>
      <w:bookmarkStart w:id="36" w:name="_Toc3214540"/>
      <w:r>
        <w:rPr>
          <w:rFonts w:hint="eastAsia"/>
          <w:b/>
        </w:rPr>
        <w:t>（一）室内装修</w:t>
      </w:r>
      <w:bookmarkEnd w:id="36"/>
    </w:p>
    <w:p>
      <w:pPr>
        <w:ind w:firstLine="424" w:firstLineChars="202"/>
      </w:pPr>
      <w:r>
        <w:rPr>
          <w:rFonts w:hint="eastAsia"/>
        </w:rPr>
        <w:t>科学育儿指导中心（站）的室内装修应符合GB 50325-2010 GB 50222-2017的规定。</w:t>
      </w:r>
    </w:p>
    <w:p>
      <w:pPr>
        <w:ind w:firstLine="424" w:firstLineChars="202"/>
      </w:pPr>
      <w:r>
        <w:rPr>
          <w:rFonts w:hint="eastAsia"/>
        </w:rPr>
        <w:t>科学育儿指导中心（站）内墙面、顶面粉刷应符合环保、适用、经济、耐久、美观的要求，色彩宜力求明亮活泼，所有内墙的阳角？和方柱应做成小圆角。</w:t>
      </w:r>
    </w:p>
    <w:p>
      <w:pPr>
        <w:ind w:firstLine="424" w:firstLineChars="202"/>
      </w:pPr>
      <w:r>
        <w:rPr>
          <w:rFonts w:hint="eastAsia"/>
        </w:rPr>
        <w:t>卫生间内墙面应做易清洁的磁砖护壁至天棚。</w:t>
      </w:r>
    </w:p>
    <w:p>
      <w:pPr>
        <w:ind w:firstLine="422" w:firstLineChars="200"/>
        <w:rPr>
          <w:b/>
        </w:rPr>
      </w:pPr>
      <w:bookmarkStart w:id="37" w:name="_Toc3214541"/>
      <w:r>
        <w:rPr>
          <w:rFonts w:hint="eastAsia"/>
          <w:b/>
        </w:rPr>
        <w:t>1、装修材料</w:t>
      </w:r>
      <w:bookmarkEnd w:id="37"/>
    </w:p>
    <w:p>
      <w:pPr>
        <w:ind w:firstLine="424" w:firstLineChars="202"/>
      </w:pPr>
      <w:r>
        <w:rPr>
          <w:rFonts w:hint="eastAsia"/>
        </w:rPr>
        <w:t>装修应选用符合GB 18580-2001-- GB 18589-2001要求的材料。所使用的建筑材料、装修材料和室内设施应符合GB 50325-2010的有关规定。</w:t>
      </w:r>
    </w:p>
    <w:p>
      <w:pPr>
        <w:ind w:firstLine="424" w:firstLineChars="202"/>
      </w:pPr>
      <w:r>
        <w:rPr>
          <w:rFonts w:hint="eastAsia"/>
        </w:rPr>
        <w:t>室内装修、家具选材应采用E0级的环保材料与不低于B1级的防火材料。</w:t>
      </w:r>
    </w:p>
    <w:p>
      <w:pPr>
        <w:ind w:firstLine="424" w:firstLineChars="202"/>
      </w:pPr>
      <w:r>
        <w:rPr>
          <w:rFonts w:hint="eastAsia"/>
        </w:rPr>
        <w:t>墙面及台面应采用易清洗材料。地面应采用防滑材料。</w:t>
      </w:r>
    </w:p>
    <w:p>
      <w:pPr>
        <w:ind w:firstLine="422" w:firstLineChars="200"/>
        <w:rPr>
          <w:b/>
        </w:rPr>
      </w:pPr>
      <w:bookmarkStart w:id="38" w:name="_Toc3214542"/>
      <w:r>
        <w:rPr>
          <w:rFonts w:hint="eastAsia"/>
          <w:b/>
        </w:rPr>
        <w:t>2、施工要求</w:t>
      </w:r>
      <w:bookmarkEnd w:id="38"/>
    </w:p>
    <w:p>
      <w:pPr>
        <w:ind w:firstLine="424" w:firstLineChars="202"/>
      </w:pPr>
      <w:r>
        <w:rPr>
          <w:rFonts w:hint="eastAsia"/>
        </w:rPr>
        <w:t>室内装修、家具应采用弧形或圆角设计，硬材质装修及家具角边应加装防撞软条。</w:t>
      </w:r>
    </w:p>
    <w:p>
      <w:pPr>
        <w:ind w:firstLine="424" w:firstLineChars="202"/>
      </w:pPr>
      <w:r>
        <w:rPr>
          <w:rFonts w:hint="eastAsia"/>
        </w:rPr>
        <w:t>排水、采暖通风、电气等安装施工，以各项目有关工种图纸为准。各工种的施工安装均应符合GB50210-2018的要求。</w:t>
      </w:r>
    </w:p>
    <w:p>
      <w:pPr>
        <w:ind w:firstLine="422" w:firstLineChars="200"/>
        <w:rPr>
          <w:b/>
        </w:rPr>
      </w:pPr>
      <w:bookmarkStart w:id="39" w:name="_Toc3214543"/>
      <w:r>
        <w:rPr>
          <w:rFonts w:hint="eastAsia"/>
          <w:b/>
        </w:rPr>
        <w:t>（二）采光</w:t>
      </w:r>
      <w:bookmarkEnd w:id="39"/>
    </w:p>
    <w:p>
      <w:pPr>
        <w:ind w:firstLine="424" w:firstLineChars="202"/>
      </w:pPr>
      <w:r>
        <w:rPr>
          <w:rFonts w:hint="eastAsia"/>
        </w:rPr>
        <w:t>中心的总平面布置应保证婴幼儿活动室的良好日照朝向，避免强光直射。如采用人工照明，应避免眩光等。平均照度符合《建筑照明设计标准》 (GB50034)的规定。</w:t>
      </w:r>
    </w:p>
    <w:p>
      <w:pPr>
        <w:ind w:firstLine="422" w:firstLineChars="200"/>
        <w:rPr>
          <w:b/>
        </w:rPr>
      </w:pPr>
      <w:bookmarkStart w:id="40" w:name="_Toc3214544"/>
      <w:r>
        <w:rPr>
          <w:rFonts w:hint="eastAsia"/>
          <w:b/>
        </w:rPr>
        <w:t>（三）噪音</w:t>
      </w:r>
      <w:bookmarkEnd w:id="40"/>
    </w:p>
    <w:p>
      <w:pPr>
        <w:ind w:firstLine="424" w:firstLineChars="202"/>
      </w:pPr>
      <w:r>
        <w:rPr>
          <w:rFonts w:hint="eastAsia"/>
        </w:rPr>
        <w:t>中心应采取措施，确保所有房间、区域，噪声不高于55分贝。隔音效果应符合GB 50118-2010《民用建筑隔声设计规范》。</w:t>
      </w:r>
    </w:p>
    <w:p>
      <w:pPr>
        <w:ind w:firstLine="422" w:firstLineChars="200"/>
        <w:rPr>
          <w:b/>
        </w:rPr>
      </w:pPr>
      <w:bookmarkStart w:id="41" w:name="_Toc3214545"/>
      <w:r>
        <w:rPr>
          <w:rFonts w:hint="eastAsia"/>
          <w:b/>
        </w:rPr>
        <w:t>（四）空气质量</w:t>
      </w:r>
      <w:bookmarkEnd w:id="41"/>
    </w:p>
    <w:p>
      <w:pPr>
        <w:ind w:firstLine="424" w:firstLineChars="202"/>
      </w:pPr>
      <w:r>
        <w:rPr>
          <w:rFonts w:hint="eastAsia"/>
        </w:rPr>
        <w:t>保证婴幼儿生活用房空气质量GB/T18883-2002的要求。</w:t>
      </w:r>
    </w:p>
    <w:p>
      <w:pPr>
        <w:pStyle w:val="2"/>
        <w:spacing w:before="0" w:after="0"/>
        <w:ind w:firstLine="562" w:firstLineChars="200"/>
        <w:rPr>
          <w:sz w:val="28"/>
          <w:szCs w:val="28"/>
        </w:rPr>
      </w:pPr>
      <w:bookmarkStart w:id="42" w:name="_Toc3214546"/>
      <w:r>
        <w:rPr>
          <w:rFonts w:hint="eastAsia"/>
          <w:sz w:val="28"/>
          <w:szCs w:val="28"/>
        </w:rPr>
        <w:t>六、物品柜及教玩具要求</w:t>
      </w:r>
      <w:bookmarkEnd w:id="42"/>
    </w:p>
    <w:p>
      <w:pPr>
        <w:ind w:firstLine="422" w:firstLineChars="200"/>
        <w:rPr>
          <w:b/>
        </w:rPr>
      </w:pPr>
      <w:bookmarkStart w:id="43" w:name="_Toc3214547"/>
      <w:r>
        <w:rPr>
          <w:rFonts w:hint="eastAsia"/>
          <w:b/>
        </w:rPr>
        <w:t>（一）物品柜及电视机安装要求</w:t>
      </w:r>
      <w:bookmarkEnd w:id="43"/>
    </w:p>
    <w:p>
      <w:pPr>
        <w:ind w:firstLine="424" w:firstLineChars="202"/>
      </w:pPr>
      <w:r>
        <w:rPr>
          <w:rFonts w:hint="eastAsia"/>
        </w:rPr>
        <w:t>中心内的物品柜尺寸大小、高低，必须满足婴幼儿的使用需求。</w:t>
      </w:r>
    </w:p>
    <w:p>
      <w:pPr>
        <w:ind w:firstLine="424" w:firstLineChars="202"/>
      </w:pPr>
      <w:r>
        <w:rPr>
          <w:rFonts w:hint="eastAsia"/>
        </w:rPr>
        <w:t>物品柜的表面应光滑、可清洗、无孔。中心内的物品柜的摆放，应满足活动需求，防止碰撞和伤害婴幼儿。</w:t>
      </w:r>
    </w:p>
    <w:p>
      <w:pPr>
        <w:ind w:firstLine="424" w:firstLineChars="202"/>
      </w:pPr>
      <w:r>
        <w:rPr>
          <w:rFonts w:hint="eastAsia"/>
        </w:rPr>
        <w:t>电视机应处于固定安装的位置，以防翻倒。</w:t>
      </w:r>
    </w:p>
    <w:p>
      <w:pPr>
        <w:ind w:firstLine="422" w:firstLineChars="200"/>
        <w:rPr>
          <w:b/>
        </w:rPr>
      </w:pPr>
      <w:bookmarkStart w:id="44" w:name="_Toc3214548"/>
      <w:r>
        <w:rPr>
          <w:rFonts w:hint="eastAsia"/>
          <w:b/>
        </w:rPr>
        <w:t>（二）教玩具要求</w:t>
      </w:r>
      <w:bookmarkEnd w:id="44"/>
    </w:p>
    <w:p>
      <w:pPr>
        <w:ind w:firstLine="424" w:firstLineChars="202"/>
      </w:pPr>
      <w:r>
        <w:rPr>
          <w:rFonts w:hint="eastAsia"/>
        </w:rPr>
        <w:t>教具和玩具在质地上，不宜太沉；教玩具材料须防火，填充物要防止被婴幼儿吸入或呛伤，大型教玩具的零件要避免撕、刮、夹伤婴幼儿；教玩具的体积，不宜太小，避免婴幼儿吞食误服或塞入耳、鼻、口中；教玩具的形状，不能过细过长或零件太多，防止小物件脱落；</w:t>
      </w:r>
    </w:p>
    <w:p>
      <w:r>
        <w:rPr>
          <w:rFonts w:hint="eastAsia"/>
        </w:rPr>
        <w:t>使用的颜料、蜡笔、橡皮泥等要无铅无毒，电动玩具不能使用小号电池。</w:t>
      </w:r>
    </w:p>
    <w:p>
      <w:pPr>
        <w:ind w:firstLine="424" w:firstLineChars="202"/>
      </w:pPr>
      <w:r>
        <w:rPr>
          <w:rFonts w:hint="eastAsia"/>
        </w:rPr>
        <w:t>大型游戏玩具如滑梯、秋千等应按照说明书妥善安装及维护。</w:t>
      </w:r>
    </w:p>
    <w:p>
      <w:pPr>
        <w:ind w:firstLine="424" w:firstLineChars="202"/>
      </w:pPr>
      <w:r>
        <w:rPr>
          <w:rFonts w:hint="eastAsia"/>
        </w:rPr>
        <w:t>攀爬设施周围应避免存在尖锐物品，地面应软包。</w:t>
      </w:r>
    </w:p>
    <w:p>
      <w:pPr>
        <w:ind w:firstLine="424" w:firstLineChars="202"/>
      </w:pPr>
      <w:r>
        <w:rPr>
          <w:rFonts w:hint="eastAsia"/>
        </w:rPr>
        <w:t>中心工作人员应对游戏区设施进行日查，主要包括是否有丢失或损坏的部件、突出的毛边、掉漆、扶手的安全性、大型游戏玩具的稳定性等。</w:t>
      </w:r>
    </w:p>
    <w:p>
      <w:pPr>
        <w:ind w:firstLine="424" w:firstLineChars="202"/>
      </w:pPr>
      <w:r>
        <w:rPr>
          <w:rFonts w:hint="eastAsia"/>
        </w:rPr>
        <w:t>教玩具符合《儿童家具通用技术条件》GB28007、《国家玩具安全技术规范》GB6675、《游乐设施安全规范》GB8408的要求。</w:t>
      </w:r>
    </w:p>
    <w:p>
      <w:pPr>
        <w:pStyle w:val="2"/>
        <w:spacing w:before="0" w:after="0"/>
        <w:ind w:firstLine="562" w:firstLineChars="200"/>
        <w:rPr>
          <w:sz w:val="28"/>
          <w:szCs w:val="28"/>
        </w:rPr>
      </w:pPr>
      <w:bookmarkStart w:id="45" w:name="_Toc3214549"/>
      <w:r>
        <w:rPr>
          <w:rFonts w:hint="eastAsia"/>
          <w:sz w:val="28"/>
          <w:szCs w:val="28"/>
        </w:rPr>
        <w:t>七、标识标牌</w:t>
      </w:r>
      <w:bookmarkEnd w:id="45"/>
    </w:p>
    <w:p>
      <w:pPr>
        <w:ind w:firstLine="422" w:firstLineChars="200"/>
        <w:rPr>
          <w:b/>
        </w:rPr>
      </w:pPr>
      <w:bookmarkStart w:id="46" w:name="_Toc3214550"/>
      <w:r>
        <w:rPr>
          <w:rFonts w:hint="eastAsia"/>
          <w:b/>
        </w:rPr>
        <w:t>（一）标牌</w:t>
      </w:r>
      <w:bookmarkEnd w:id="46"/>
    </w:p>
    <w:p>
      <w:pPr>
        <w:ind w:firstLine="424" w:firstLineChars="202"/>
      </w:pPr>
      <w:r>
        <w:rPr>
          <w:rFonts w:hint="eastAsia"/>
        </w:rPr>
        <w:t>有醒目、统一的儿童早期发展科学育儿指导中心 /站广告标识牌（长、宽、厚；文字；颜色；图案附后），作为形象宣传和服务指引；广告标识牌的设计应符合附录A的规定。</w:t>
      </w:r>
    </w:p>
    <w:p>
      <w:pPr>
        <w:ind w:firstLine="422" w:firstLineChars="200"/>
        <w:rPr>
          <w:b/>
        </w:rPr>
      </w:pPr>
      <w:bookmarkStart w:id="47" w:name="_Toc3214551"/>
      <w:r>
        <w:rPr>
          <w:rFonts w:hint="eastAsia"/>
          <w:b/>
        </w:rPr>
        <w:t>（二）功能区指引牌</w:t>
      </w:r>
      <w:bookmarkEnd w:id="47"/>
    </w:p>
    <w:p>
      <w:pPr>
        <w:ind w:firstLine="424" w:firstLineChars="202"/>
      </w:pPr>
      <w:r>
        <w:rPr>
          <w:rFonts w:hint="eastAsia"/>
        </w:rPr>
        <w:t>引导、指路功能（长、宽、厚；文字；颜色；图案附后），功能区指引牌的设计应符合附录A的规定。</w:t>
      </w:r>
    </w:p>
    <w:p>
      <w:pPr>
        <w:ind w:firstLine="422" w:firstLineChars="200"/>
        <w:rPr>
          <w:b/>
        </w:rPr>
      </w:pPr>
      <w:bookmarkStart w:id="48" w:name="_Toc3214552"/>
      <w:r>
        <w:rPr>
          <w:rFonts w:hint="eastAsia"/>
          <w:b/>
        </w:rPr>
        <w:t>（三）宣传牌</w:t>
      </w:r>
      <w:bookmarkEnd w:id="48"/>
    </w:p>
    <w:p>
      <w:pPr>
        <w:ind w:firstLine="424" w:firstLineChars="202"/>
      </w:pPr>
      <w:r>
        <w:rPr>
          <w:rFonts w:hint="eastAsia"/>
        </w:rPr>
        <w:t>儿童早期发展相关知识、服务流程、活动须知等（长、宽、厚；文字；颜色；图案附后），其设计应符合附录A的规定。</w:t>
      </w:r>
    </w:p>
    <w:p>
      <w:pPr>
        <w:widowControl/>
        <w:jc w:val="left"/>
      </w:pPr>
      <w:r>
        <w:br w:type="page"/>
      </w:r>
    </w:p>
    <w:p>
      <w:pPr>
        <w:pStyle w:val="2"/>
        <w:spacing w:before="0" w:after="0"/>
        <w:jc w:val="center"/>
        <w:rPr>
          <w:sz w:val="28"/>
          <w:szCs w:val="28"/>
        </w:rPr>
      </w:pPr>
      <w:bookmarkStart w:id="49" w:name="_Toc3214553"/>
      <w:bookmarkStart w:id="50" w:name="_Toc2762116"/>
      <w:bookmarkStart w:id="51" w:name="_Toc2762321"/>
      <w:bookmarkStart w:id="52" w:name="_Toc2762609"/>
      <w:bookmarkStart w:id="53" w:name="_Toc2762672"/>
      <w:r>
        <w:rPr>
          <w:rFonts w:hint="eastAsia"/>
          <w:sz w:val="28"/>
          <w:szCs w:val="28"/>
        </w:rPr>
        <w:t>附录A</w:t>
      </w:r>
      <w:bookmarkEnd w:id="49"/>
    </w:p>
    <w:p>
      <w:pPr>
        <w:jc w:val="center"/>
      </w:pPr>
      <w:r>
        <w:rPr>
          <w:rFonts w:hint="eastAsia"/>
        </w:rPr>
        <w:t>（规范性附录）</w:t>
      </w:r>
    </w:p>
    <w:p>
      <w:pPr>
        <w:jc w:val="center"/>
      </w:pPr>
      <w:r>
        <w:rPr>
          <w:rFonts w:hint="eastAsia"/>
        </w:rPr>
        <w:t>标志标牌</w:t>
      </w:r>
      <w:bookmarkEnd w:id="50"/>
      <w:bookmarkEnd w:id="51"/>
      <w:bookmarkEnd w:id="52"/>
      <w:bookmarkEnd w:id="53"/>
    </w:p>
    <w:p>
      <w:pPr>
        <w:ind w:firstLine="420" w:firstLineChars="200"/>
        <w:jc w:val="left"/>
      </w:pPr>
      <w:r>
        <w:rPr>
          <w:rFonts w:hint="eastAsia"/>
        </w:rPr>
        <w:t>儿童早期发展</w:t>
      </w:r>
      <w:r>
        <w:t>科学育儿指导中心(</w:t>
      </w:r>
      <w:r>
        <w:rPr>
          <w:rFonts w:hint="eastAsia"/>
        </w:rPr>
        <w:t>站</w:t>
      </w:r>
      <w:r>
        <w:t>)</w:t>
      </w:r>
      <w:r>
        <w:rPr>
          <w:rFonts w:hint="eastAsia"/>
        </w:rPr>
        <w:t>标志标牌的</w:t>
      </w:r>
      <w:r>
        <w:t>建设参照</w:t>
      </w:r>
      <w:r>
        <w:rPr>
          <w:rFonts w:hint="eastAsia"/>
        </w:rPr>
        <w:t>表1。</w:t>
      </w:r>
    </w:p>
    <w:p>
      <w:pPr>
        <w:pStyle w:val="25"/>
        <w:numPr>
          <w:ilvl w:val="0"/>
          <w:numId w:val="1"/>
        </w:numPr>
        <w:tabs>
          <w:tab w:val="left" w:pos="360"/>
        </w:tabs>
        <w:spacing w:before="156" w:after="156"/>
      </w:pPr>
      <w:r>
        <w:rPr>
          <w:rFonts w:hint="eastAsia"/>
        </w:rPr>
        <w:t>标志标牌</w:t>
      </w:r>
      <w:r>
        <w:t>的</w:t>
      </w:r>
      <w:r>
        <w:rPr>
          <w:rFonts w:hint="eastAsia"/>
        </w:rPr>
        <w:t>图形符号及尺寸</w:t>
      </w:r>
    </w:p>
    <w:tbl>
      <w:tblPr>
        <w:tblStyle w:val="16"/>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5904"/>
        <w:gridCol w:w="1418"/>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583" w:type="dxa"/>
            <w:vAlign w:val="center"/>
          </w:tcPr>
          <w:p>
            <w:pPr>
              <w:jc w:val="center"/>
              <w:rPr>
                <w:rFonts w:ascii="宋体" w:hAnsi="Calibri"/>
                <w:sz w:val="18"/>
                <w:szCs w:val="18"/>
              </w:rPr>
            </w:pPr>
            <w:r>
              <w:rPr>
                <w:rFonts w:hint="eastAsia" w:ascii="宋体" w:hAnsi="宋体"/>
                <w:sz w:val="18"/>
                <w:szCs w:val="18"/>
              </w:rPr>
              <w:t>编号</w:t>
            </w:r>
          </w:p>
        </w:tc>
        <w:tc>
          <w:tcPr>
            <w:tcW w:w="5904" w:type="dxa"/>
            <w:vAlign w:val="center"/>
          </w:tcPr>
          <w:p>
            <w:pPr>
              <w:jc w:val="center"/>
              <w:rPr>
                <w:rFonts w:ascii="宋体" w:hAnsi="Calibri"/>
                <w:sz w:val="18"/>
                <w:szCs w:val="18"/>
              </w:rPr>
            </w:pPr>
            <w:r>
              <w:rPr>
                <w:rFonts w:hint="eastAsia" w:ascii="宋体" w:hAnsi="宋体"/>
                <w:sz w:val="18"/>
                <w:szCs w:val="18"/>
              </w:rPr>
              <w:t>图形符号</w:t>
            </w:r>
          </w:p>
        </w:tc>
        <w:tc>
          <w:tcPr>
            <w:tcW w:w="1418" w:type="dxa"/>
            <w:vAlign w:val="center"/>
          </w:tcPr>
          <w:p>
            <w:pPr>
              <w:jc w:val="center"/>
              <w:rPr>
                <w:rFonts w:ascii="宋体" w:hAnsi="Calibri"/>
                <w:sz w:val="18"/>
                <w:szCs w:val="18"/>
              </w:rPr>
            </w:pPr>
            <w:r>
              <w:rPr>
                <w:rFonts w:hint="eastAsia" w:ascii="宋体" w:hAnsi="宋体"/>
                <w:sz w:val="18"/>
                <w:szCs w:val="18"/>
              </w:rPr>
              <w:t>名称</w:t>
            </w:r>
          </w:p>
        </w:tc>
        <w:tc>
          <w:tcPr>
            <w:tcW w:w="1665" w:type="dxa"/>
            <w:vAlign w:val="center"/>
          </w:tcPr>
          <w:p>
            <w:pPr>
              <w:jc w:val="center"/>
              <w:rPr>
                <w:rFonts w:ascii="宋体" w:hAnsi="Calibri"/>
                <w:sz w:val="18"/>
                <w:szCs w:val="18"/>
              </w:rPr>
            </w:pPr>
            <w:r>
              <w:rPr>
                <w:rFonts w:hint="eastAsia" w:ascii="宋体" w:hAnsi="宋体"/>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Calibri"/>
                <w:sz w:val="24"/>
              </w:rPr>
            </w:pPr>
            <w:r>
              <w:rPr>
                <w:rFonts w:ascii="宋体" w:hAnsi="宋体"/>
                <w:sz w:val="18"/>
                <w:szCs w:val="18"/>
              </w:rPr>
              <w:t>1-1</w:t>
            </w:r>
          </w:p>
        </w:tc>
        <w:tc>
          <w:tcPr>
            <w:tcW w:w="5904" w:type="dxa"/>
            <w:vAlign w:val="center"/>
          </w:tcPr>
          <w:p>
            <w:pPr>
              <w:jc w:val="center"/>
              <w:rPr>
                <w:rFonts w:ascii="宋体" w:hAnsi="Calibri"/>
                <w:b/>
                <w:sz w:val="24"/>
              </w:rPr>
            </w:pPr>
            <w:r>
              <w:rPr>
                <w:rFonts w:ascii="宋体" w:hAnsi="Calibri"/>
                <w:b/>
                <w:sz w:val="24"/>
              </w:rPr>
              <w:drawing>
                <wp:inline distT="0" distB="0" distL="0" distR="0">
                  <wp:extent cx="963295" cy="835025"/>
                  <wp:effectExtent l="19050" t="0" r="825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srcRect/>
                          <a:stretch>
                            <a:fillRect/>
                          </a:stretch>
                        </pic:blipFill>
                        <pic:spPr>
                          <a:xfrm>
                            <a:off x="0" y="0"/>
                            <a:ext cx="963295" cy="835025"/>
                          </a:xfrm>
                          <a:prstGeom prst="rect">
                            <a:avLst/>
                          </a:prstGeom>
                          <a:noFill/>
                        </pic:spPr>
                      </pic:pic>
                    </a:graphicData>
                  </a:graphic>
                </wp:inline>
              </w:drawing>
            </w:r>
          </w:p>
        </w:tc>
        <w:tc>
          <w:tcPr>
            <w:tcW w:w="1418" w:type="dxa"/>
            <w:vAlign w:val="center"/>
          </w:tcPr>
          <w:p>
            <w:pPr>
              <w:autoSpaceDE w:val="0"/>
              <w:autoSpaceDN w:val="0"/>
              <w:adjustRightInd w:val="0"/>
              <w:jc w:val="center"/>
              <w:rPr>
                <w:kern w:val="0"/>
                <w:sz w:val="18"/>
                <w:szCs w:val="18"/>
              </w:rPr>
            </w:pPr>
            <w:r>
              <w:rPr>
                <w:rFonts w:hint="eastAsia"/>
                <w:kern w:val="0"/>
                <w:sz w:val="18"/>
                <w:szCs w:val="18"/>
              </w:rPr>
              <w:t>儿童早期发展科学育儿指导中心logo</w:t>
            </w:r>
          </w:p>
          <w:p>
            <w:pPr>
              <w:autoSpaceDE w:val="0"/>
              <w:autoSpaceDN w:val="0"/>
              <w:adjustRightInd w:val="0"/>
              <w:jc w:val="center"/>
              <w:rPr>
                <w:kern w:val="0"/>
                <w:sz w:val="18"/>
                <w:szCs w:val="18"/>
              </w:rPr>
            </w:pPr>
            <w:r>
              <w:rPr>
                <w:rFonts w:hint="eastAsia"/>
                <w:kern w:val="0"/>
                <w:sz w:val="18"/>
                <w:szCs w:val="18"/>
              </w:rPr>
              <w:t xml:space="preserve">      英文</w:t>
            </w:r>
          </w:p>
        </w:tc>
        <w:tc>
          <w:tcPr>
            <w:tcW w:w="1665" w:type="dxa"/>
            <w:vAlign w:val="center"/>
          </w:tcPr>
          <w:p>
            <w:pPr>
              <w:autoSpaceDE w:val="0"/>
              <w:autoSpaceDN w:val="0"/>
              <w:adjustRightInd w:val="0"/>
              <w:jc w:val="center"/>
              <w:rPr>
                <w:kern w:val="0"/>
                <w:sz w:val="18"/>
                <w:szCs w:val="18"/>
              </w:rPr>
            </w:pPr>
            <w:r>
              <w:rPr>
                <w:rFonts w:hint="eastAsia"/>
                <w:kern w:val="0"/>
                <w:sz w:val="18"/>
                <w:szCs w:val="18"/>
              </w:rPr>
              <w:t>各区</w:t>
            </w:r>
            <w:r>
              <w:rPr>
                <w:kern w:val="0"/>
                <w:sz w:val="18"/>
                <w:szCs w:val="18"/>
              </w:rPr>
              <w:t>、</w:t>
            </w:r>
            <w:r>
              <w:rPr>
                <w:rFonts w:hint="eastAsia"/>
                <w:kern w:val="0"/>
                <w:sz w:val="18"/>
                <w:szCs w:val="18"/>
              </w:rPr>
              <w:t>街道、</w:t>
            </w:r>
            <w:r>
              <w:rPr>
                <w:kern w:val="0"/>
                <w:sz w:val="18"/>
                <w:szCs w:val="18"/>
              </w:rPr>
              <w:t>社区</w:t>
            </w:r>
            <w:r>
              <w:rPr>
                <w:rFonts w:hint="eastAsia"/>
                <w:kern w:val="0"/>
                <w:sz w:val="18"/>
                <w:szCs w:val="18"/>
              </w:rPr>
              <w:t>使用时，</w:t>
            </w:r>
            <w:r>
              <w:rPr>
                <w:kern w:val="0"/>
                <w:sz w:val="18"/>
                <w:szCs w:val="18"/>
              </w:rPr>
              <w:t>可</w:t>
            </w:r>
            <w:r>
              <w:rPr>
                <w:rFonts w:hint="eastAsia"/>
                <w:kern w:val="0"/>
                <w:sz w:val="18"/>
                <w:szCs w:val="18"/>
              </w:rPr>
              <w:t>设置为：</w:t>
            </w:r>
            <w:bookmarkStart w:id="54" w:name="_Toc1635695"/>
            <w:r>
              <w:rPr>
                <w:rFonts w:hint="eastAsia"/>
                <w:kern w:val="0"/>
                <w:sz w:val="18"/>
                <w:szCs w:val="18"/>
              </w:rPr>
              <w:t>XX区   XX街道  XX社区</w:t>
            </w:r>
            <w:bookmarkEnd w:id="54"/>
            <w:r>
              <w:rPr>
                <w:rFonts w:hint="eastAsia"/>
                <w:kern w:val="0"/>
                <w:sz w:val="18"/>
                <w:szCs w:val="18"/>
              </w:rPr>
              <w:t>科学</w:t>
            </w:r>
            <w:r>
              <w:rPr>
                <w:kern w:val="0"/>
                <w:sz w:val="18"/>
                <w:szCs w:val="18"/>
              </w:rPr>
              <w:t>育儿指导中心</w:t>
            </w:r>
          </w:p>
          <w:p>
            <w:pPr>
              <w:jc w:val="center"/>
              <w:rPr>
                <w:rFonts w:ascii="宋体"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ascii="宋体" w:hAnsi="宋体"/>
                <w:sz w:val="18"/>
                <w:szCs w:val="18"/>
              </w:rPr>
              <w:t>1-2</w:t>
            </w:r>
          </w:p>
        </w:tc>
        <w:tc>
          <w:tcPr>
            <w:tcW w:w="5904" w:type="dxa"/>
            <w:vAlign w:val="center"/>
          </w:tcPr>
          <w:p>
            <w:pPr>
              <w:jc w:val="center"/>
              <w:rPr>
                <w:rFonts w:ascii="宋体" w:hAnsi="Calibri"/>
                <w:sz w:val="24"/>
              </w:rPr>
            </w:pPr>
            <w:r>
              <w:rPr>
                <w:rFonts w:ascii="仿宋_GB2312" w:hAnsi="仿宋_GB2312" w:cs="仿宋_GB2312"/>
              </w:rPr>
              <w:drawing>
                <wp:inline distT="0" distB="0" distL="0" distR="0">
                  <wp:extent cx="3005455" cy="1176655"/>
                  <wp:effectExtent l="19050" t="0" r="44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3005455" cy="1176655"/>
                          </a:xfrm>
                          <a:prstGeom prst="rect">
                            <a:avLst/>
                          </a:prstGeom>
                          <a:noFill/>
                          <a:ln w="9525">
                            <a:noFill/>
                            <a:miter lim="800000"/>
                            <a:headEnd/>
                            <a:tailEnd/>
                          </a:ln>
                        </pic:spPr>
                      </pic:pic>
                    </a:graphicData>
                  </a:graphic>
                </wp:inline>
              </w:drawing>
            </w:r>
          </w:p>
        </w:tc>
        <w:tc>
          <w:tcPr>
            <w:tcW w:w="1418" w:type="dxa"/>
            <w:vAlign w:val="center"/>
          </w:tcPr>
          <w:p>
            <w:pPr>
              <w:autoSpaceDE w:val="0"/>
              <w:autoSpaceDN w:val="0"/>
              <w:adjustRightInd w:val="0"/>
              <w:jc w:val="center"/>
              <w:rPr>
                <w:kern w:val="0"/>
                <w:sz w:val="18"/>
                <w:szCs w:val="18"/>
              </w:rPr>
            </w:pPr>
            <w:r>
              <w:rPr>
                <w:rFonts w:hint="eastAsia" w:ascii="宋体" w:hAnsi="Calibri" w:cs="宋体"/>
                <w:kern w:val="0"/>
                <w:sz w:val="18"/>
                <w:szCs w:val="18"/>
              </w:rPr>
              <w:t>标志牌</w:t>
            </w:r>
          </w:p>
        </w:tc>
        <w:tc>
          <w:tcPr>
            <w:tcW w:w="1665" w:type="dxa"/>
            <w:vAlign w:val="center"/>
          </w:tcPr>
          <w:p>
            <w:pPr>
              <w:autoSpaceDE w:val="0"/>
              <w:autoSpaceDN w:val="0"/>
              <w:adjustRightInd w:val="0"/>
              <w:jc w:val="center"/>
              <w:rPr>
                <w:rFonts w:ascii="宋体" w:hAnsi="Calibri"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hint="eastAsia" w:ascii="宋体" w:hAnsi="宋体"/>
                <w:sz w:val="18"/>
                <w:szCs w:val="18"/>
              </w:rPr>
              <w:t>1-3</w:t>
            </w:r>
          </w:p>
        </w:tc>
        <w:tc>
          <w:tcPr>
            <w:tcW w:w="5904" w:type="dxa"/>
            <w:vAlign w:val="center"/>
          </w:tcPr>
          <w:p>
            <w:pPr>
              <w:jc w:val="center"/>
              <w:rPr>
                <w:rFonts w:ascii="仿宋_GB2312" w:hAnsi="仿宋_GB2312" w:cs="仿宋_GB2312"/>
              </w:rPr>
            </w:pPr>
            <w:r>
              <w:rPr>
                <w:rFonts w:ascii="仿宋_GB2312" w:hAnsi="仿宋_GB2312" w:cs="仿宋_GB2312"/>
              </w:rPr>
              <w:drawing>
                <wp:inline distT="0" distB="0" distL="0" distR="0">
                  <wp:extent cx="2600325" cy="2059305"/>
                  <wp:effectExtent l="1905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7" cstate="print"/>
                          <a:srcRect/>
                          <a:stretch>
                            <a:fillRect/>
                          </a:stretch>
                        </pic:blipFill>
                        <pic:spPr>
                          <a:xfrm>
                            <a:off x="0" y="0"/>
                            <a:ext cx="2600325" cy="2059305"/>
                          </a:xfrm>
                          <a:prstGeom prst="rect">
                            <a:avLst/>
                          </a:prstGeom>
                          <a:noFill/>
                          <a:ln w="9525">
                            <a:noFill/>
                            <a:miter lim="800000"/>
                            <a:headEnd/>
                            <a:tailEnd/>
                          </a:ln>
                        </pic:spPr>
                      </pic:pic>
                    </a:graphicData>
                  </a:graphic>
                </wp:inline>
              </w:drawing>
            </w:r>
          </w:p>
        </w:tc>
        <w:tc>
          <w:tcPr>
            <w:tcW w:w="1418" w:type="dxa"/>
            <w:vAlign w:val="center"/>
          </w:tcPr>
          <w:p>
            <w:pPr>
              <w:autoSpaceDE w:val="0"/>
              <w:autoSpaceDN w:val="0"/>
              <w:adjustRightInd w:val="0"/>
              <w:jc w:val="center"/>
              <w:rPr>
                <w:rFonts w:ascii="宋体" w:hAnsi="Calibri" w:cs="宋体"/>
                <w:kern w:val="0"/>
                <w:sz w:val="18"/>
                <w:szCs w:val="18"/>
              </w:rPr>
            </w:pPr>
            <w:r>
              <w:rPr>
                <w:rFonts w:hint="eastAsia" w:ascii="宋体" w:hAnsi="Calibri" w:cs="宋体"/>
                <w:kern w:val="0"/>
                <w:sz w:val="18"/>
                <w:szCs w:val="18"/>
              </w:rPr>
              <w:t>标准色、</w:t>
            </w:r>
            <w:r>
              <w:rPr>
                <w:rFonts w:ascii="宋体" w:hAnsi="Calibri" w:cs="宋体"/>
                <w:kern w:val="0"/>
                <w:sz w:val="18"/>
                <w:szCs w:val="18"/>
              </w:rPr>
              <w:t>辅助色</w:t>
            </w:r>
          </w:p>
        </w:tc>
        <w:tc>
          <w:tcPr>
            <w:tcW w:w="1665" w:type="dxa"/>
            <w:vAlign w:val="center"/>
          </w:tcPr>
          <w:p>
            <w:pPr>
              <w:autoSpaceDE w:val="0"/>
              <w:autoSpaceDN w:val="0"/>
              <w:adjustRightInd w:val="0"/>
              <w:jc w:val="center"/>
              <w:rPr>
                <w:rFonts w:ascii="宋体" w:hAnsi="Calibri"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5904" w:type="dxa"/>
            <w:vAlign w:val="center"/>
          </w:tcPr>
          <w:p>
            <w:pPr>
              <w:jc w:val="center"/>
              <w:rPr>
                <w:rFonts w:ascii="仿宋_GB2312" w:hAnsi="仿宋_GB2312" w:cs="仿宋_GB2312"/>
              </w:rPr>
            </w:pPr>
            <w:r>
              <w:rPr>
                <w:rFonts w:ascii="仿宋_GB2312" w:hAnsi="仿宋_GB2312" w:cs="仿宋_GB2312"/>
              </w:rPr>
              <w:drawing>
                <wp:inline distT="0" distB="0" distL="0" distR="0">
                  <wp:extent cx="3816350" cy="1208405"/>
                  <wp:effectExtent l="1905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8" cstate="print"/>
                          <a:srcRect/>
                          <a:stretch>
                            <a:fillRect/>
                          </a:stretch>
                        </pic:blipFill>
                        <pic:spPr>
                          <a:xfrm>
                            <a:off x="0" y="0"/>
                            <a:ext cx="3816350" cy="1208405"/>
                          </a:xfrm>
                          <a:prstGeom prst="rect">
                            <a:avLst/>
                          </a:prstGeom>
                          <a:noFill/>
                          <a:ln w="9525">
                            <a:noFill/>
                            <a:miter lim="800000"/>
                            <a:headEnd/>
                            <a:tailEnd/>
                          </a:ln>
                        </pic:spPr>
                      </pic:pic>
                    </a:graphicData>
                  </a:graphic>
                </wp:inline>
              </w:drawing>
            </w:r>
          </w:p>
        </w:tc>
        <w:tc>
          <w:tcPr>
            <w:tcW w:w="1418" w:type="dxa"/>
            <w:vAlign w:val="center"/>
          </w:tcPr>
          <w:p>
            <w:pPr>
              <w:autoSpaceDE w:val="0"/>
              <w:autoSpaceDN w:val="0"/>
              <w:adjustRightInd w:val="0"/>
              <w:jc w:val="center"/>
              <w:rPr>
                <w:rFonts w:ascii="宋体" w:hAnsi="Calibri" w:cs="宋体"/>
                <w:kern w:val="0"/>
                <w:sz w:val="18"/>
                <w:szCs w:val="18"/>
              </w:rPr>
            </w:pPr>
            <w:r>
              <w:rPr>
                <w:rFonts w:hint="eastAsia" w:ascii="宋体" w:hAnsi="Calibri" w:cs="宋体"/>
                <w:kern w:val="0"/>
                <w:sz w:val="18"/>
                <w:szCs w:val="18"/>
              </w:rPr>
              <w:t>中心</w:t>
            </w:r>
            <w:r>
              <w:rPr>
                <w:rFonts w:ascii="宋体" w:hAnsi="Calibri" w:cs="宋体"/>
                <w:kern w:val="0"/>
                <w:sz w:val="18"/>
                <w:szCs w:val="18"/>
              </w:rPr>
              <w:t>（</w:t>
            </w:r>
            <w:r>
              <w:rPr>
                <w:rFonts w:hint="eastAsia" w:ascii="宋体" w:hAnsi="Calibri" w:cs="宋体"/>
                <w:kern w:val="0"/>
                <w:sz w:val="18"/>
                <w:szCs w:val="18"/>
              </w:rPr>
              <w:t>站</w:t>
            </w:r>
            <w:r>
              <w:rPr>
                <w:rFonts w:ascii="宋体" w:hAnsi="Calibri" w:cs="宋体"/>
                <w:kern w:val="0"/>
                <w:sz w:val="18"/>
                <w:szCs w:val="18"/>
              </w:rPr>
              <w:t>）</w:t>
            </w:r>
            <w:r>
              <w:rPr>
                <w:rFonts w:hint="eastAsia" w:ascii="宋体" w:hAnsi="Calibri" w:cs="宋体"/>
                <w:kern w:val="0"/>
                <w:sz w:val="18"/>
                <w:szCs w:val="18"/>
              </w:rPr>
              <w:t>门头</w:t>
            </w:r>
            <w:r>
              <w:rPr>
                <w:rFonts w:ascii="宋体" w:hAnsi="Calibri" w:cs="宋体"/>
                <w:kern w:val="0"/>
                <w:sz w:val="18"/>
                <w:szCs w:val="18"/>
              </w:rPr>
              <w:t>规范-横排</w:t>
            </w:r>
          </w:p>
        </w:tc>
        <w:tc>
          <w:tcPr>
            <w:tcW w:w="1665" w:type="dxa"/>
            <w:vAlign w:val="center"/>
          </w:tcPr>
          <w:p>
            <w:pPr>
              <w:autoSpaceDE w:val="0"/>
              <w:autoSpaceDN w:val="0"/>
              <w:adjustRightInd w:val="0"/>
              <w:jc w:val="center"/>
              <w:rPr>
                <w:rFonts w:ascii="宋体" w:hAnsi="Calibri"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904" w:type="dxa"/>
            <w:vAlign w:val="center"/>
          </w:tcPr>
          <w:p>
            <w:pPr>
              <w:jc w:val="center"/>
              <w:rPr>
                <w:rFonts w:ascii="仿宋_GB2312" w:hAnsi="仿宋_GB2312" w:cs="仿宋_GB2312"/>
              </w:rPr>
            </w:pPr>
            <w:r>
              <w:rPr>
                <w:rFonts w:ascii="仿宋_GB2312" w:hAnsi="仿宋_GB2312" w:cs="仿宋_GB2312"/>
              </w:rPr>
              <w:drawing>
                <wp:inline distT="0" distB="0" distL="0" distR="0">
                  <wp:extent cx="1025525" cy="2838450"/>
                  <wp:effectExtent l="19050" t="0" r="317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9" cstate="print"/>
                          <a:srcRect/>
                          <a:stretch>
                            <a:fillRect/>
                          </a:stretch>
                        </pic:blipFill>
                        <pic:spPr>
                          <a:xfrm>
                            <a:off x="0" y="0"/>
                            <a:ext cx="1025525" cy="2838450"/>
                          </a:xfrm>
                          <a:prstGeom prst="rect">
                            <a:avLst/>
                          </a:prstGeom>
                          <a:noFill/>
                          <a:ln w="9525">
                            <a:noFill/>
                            <a:miter lim="800000"/>
                            <a:headEnd/>
                            <a:tailEnd/>
                          </a:ln>
                        </pic:spPr>
                      </pic:pic>
                    </a:graphicData>
                  </a:graphic>
                </wp:inline>
              </w:drawing>
            </w:r>
          </w:p>
        </w:tc>
        <w:tc>
          <w:tcPr>
            <w:tcW w:w="1418" w:type="dxa"/>
            <w:vAlign w:val="center"/>
          </w:tcPr>
          <w:p>
            <w:pPr>
              <w:autoSpaceDE w:val="0"/>
              <w:autoSpaceDN w:val="0"/>
              <w:adjustRightInd w:val="0"/>
              <w:jc w:val="center"/>
              <w:rPr>
                <w:rFonts w:ascii="宋体" w:hAnsi="Calibri" w:cs="宋体"/>
                <w:kern w:val="0"/>
                <w:sz w:val="18"/>
                <w:szCs w:val="18"/>
              </w:rPr>
            </w:pPr>
            <w:r>
              <w:rPr>
                <w:rFonts w:hint="eastAsia" w:ascii="宋体" w:hAnsi="Calibri" w:cs="宋体"/>
                <w:kern w:val="0"/>
                <w:sz w:val="18"/>
                <w:szCs w:val="18"/>
              </w:rPr>
              <w:t>中心</w:t>
            </w:r>
            <w:r>
              <w:rPr>
                <w:rFonts w:ascii="宋体" w:hAnsi="Calibri" w:cs="宋体"/>
                <w:kern w:val="0"/>
                <w:sz w:val="18"/>
                <w:szCs w:val="18"/>
              </w:rPr>
              <w:t>（</w:t>
            </w:r>
            <w:r>
              <w:rPr>
                <w:rFonts w:hint="eastAsia" w:ascii="宋体" w:hAnsi="Calibri" w:cs="宋体"/>
                <w:kern w:val="0"/>
                <w:sz w:val="18"/>
                <w:szCs w:val="18"/>
              </w:rPr>
              <w:t>站</w:t>
            </w:r>
            <w:r>
              <w:rPr>
                <w:rFonts w:ascii="宋体" w:hAnsi="Calibri" w:cs="宋体"/>
                <w:kern w:val="0"/>
                <w:sz w:val="18"/>
                <w:szCs w:val="18"/>
              </w:rPr>
              <w:t>）</w:t>
            </w:r>
            <w:r>
              <w:rPr>
                <w:rFonts w:hint="eastAsia" w:ascii="宋体" w:hAnsi="Calibri" w:cs="宋体"/>
                <w:kern w:val="0"/>
                <w:sz w:val="18"/>
                <w:szCs w:val="18"/>
              </w:rPr>
              <w:t>门头</w:t>
            </w:r>
            <w:r>
              <w:rPr>
                <w:rFonts w:ascii="宋体" w:hAnsi="Calibri" w:cs="宋体"/>
                <w:kern w:val="0"/>
                <w:sz w:val="18"/>
                <w:szCs w:val="18"/>
              </w:rPr>
              <w:t>规范-</w:t>
            </w:r>
            <w:r>
              <w:rPr>
                <w:rFonts w:hint="eastAsia" w:ascii="宋体" w:hAnsi="Calibri" w:cs="宋体"/>
                <w:kern w:val="0"/>
                <w:sz w:val="18"/>
                <w:szCs w:val="18"/>
              </w:rPr>
              <w:t>竖排</w:t>
            </w:r>
          </w:p>
        </w:tc>
        <w:tc>
          <w:tcPr>
            <w:tcW w:w="1665" w:type="dxa"/>
            <w:vAlign w:val="center"/>
          </w:tcPr>
          <w:p>
            <w:pPr>
              <w:autoSpaceDE w:val="0"/>
              <w:autoSpaceDN w:val="0"/>
              <w:adjustRightInd w:val="0"/>
              <w:jc w:val="center"/>
              <w:rPr>
                <w:rFonts w:ascii="宋体" w:hAnsi="Calibri"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hint="eastAsia" w:ascii="宋体" w:hAnsi="宋体"/>
                <w:sz w:val="18"/>
                <w:szCs w:val="18"/>
              </w:rPr>
              <w:t>1-6</w:t>
            </w:r>
          </w:p>
        </w:tc>
        <w:tc>
          <w:tcPr>
            <w:tcW w:w="5904" w:type="dxa"/>
            <w:vAlign w:val="center"/>
          </w:tcPr>
          <w:p>
            <w:pPr>
              <w:jc w:val="center"/>
              <w:rPr>
                <w:rFonts w:ascii="仿宋_GB2312" w:hAnsi="仿宋_GB2312" w:cs="仿宋_GB2312"/>
              </w:rPr>
            </w:pPr>
            <w:bookmarkStart w:id="55" w:name="_Toc1635698"/>
            <w:r>
              <w:rPr>
                <w:rFonts w:ascii="仿宋_GB2312" w:hAnsi="仿宋_GB2312" w:cs="仿宋_GB2312"/>
              </w:rPr>
              <w:drawing>
                <wp:inline distT="0" distB="0" distL="0" distR="0">
                  <wp:extent cx="2584450" cy="3172460"/>
                  <wp:effectExtent l="19050" t="0" r="635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10" cstate="print"/>
                          <a:srcRect/>
                          <a:stretch>
                            <a:fillRect/>
                          </a:stretch>
                        </pic:blipFill>
                        <pic:spPr>
                          <a:xfrm>
                            <a:off x="0" y="0"/>
                            <a:ext cx="2584450" cy="3172460"/>
                          </a:xfrm>
                          <a:prstGeom prst="rect">
                            <a:avLst/>
                          </a:prstGeom>
                          <a:noFill/>
                          <a:ln w="9525">
                            <a:noFill/>
                            <a:miter lim="800000"/>
                            <a:headEnd/>
                            <a:tailEnd/>
                          </a:ln>
                        </pic:spPr>
                      </pic:pic>
                    </a:graphicData>
                  </a:graphic>
                </wp:inline>
              </w:drawing>
            </w:r>
            <w:bookmarkEnd w:id="55"/>
          </w:p>
        </w:tc>
        <w:tc>
          <w:tcPr>
            <w:tcW w:w="1418" w:type="dxa"/>
            <w:vAlign w:val="center"/>
          </w:tcPr>
          <w:p>
            <w:pPr>
              <w:autoSpaceDE w:val="0"/>
              <w:autoSpaceDN w:val="0"/>
              <w:adjustRightInd w:val="0"/>
              <w:jc w:val="center"/>
              <w:rPr>
                <w:rFonts w:ascii="宋体" w:hAnsi="Calibri" w:cs="宋体"/>
                <w:kern w:val="0"/>
                <w:sz w:val="18"/>
                <w:szCs w:val="18"/>
              </w:rPr>
            </w:pPr>
            <w:r>
              <w:rPr>
                <w:rFonts w:hint="eastAsia" w:ascii="宋体" w:hAnsi="Calibri" w:cs="宋体"/>
                <w:kern w:val="0"/>
                <w:sz w:val="18"/>
                <w:szCs w:val="18"/>
              </w:rPr>
              <w:t>指引牌</w:t>
            </w:r>
            <w:r>
              <w:rPr>
                <w:rFonts w:ascii="宋体" w:hAnsi="Calibri" w:cs="宋体"/>
                <w:kern w:val="0"/>
                <w:sz w:val="18"/>
                <w:szCs w:val="18"/>
              </w:rPr>
              <w:t>-</w:t>
            </w:r>
            <w:r>
              <w:rPr>
                <w:rFonts w:hint="eastAsia" w:ascii="宋体" w:hAnsi="Calibri" w:cs="宋体"/>
                <w:kern w:val="0"/>
                <w:sz w:val="18"/>
                <w:szCs w:val="18"/>
              </w:rPr>
              <w:t>竖排</w:t>
            </w:r>
          </w:p>
        </w:tc>
        <w:tc>
          <w:tcPr>
            <w:tcW w:w="1665" w:type="dxa"/>
            <w:vAlign w:val="center"/>
          </w:tcPr>
          <w:p>
            <w:pPr>
              <w:autoSpaceDE w:val="0"/>
              <w:autoSpaceDN w:val="0"/>
              <w:adjustRightInd w:val="0"/>
              <w:jc w:val="center"/>
              <w:rPr>
                <w:rFonts w:ascii="宋体" w:hAnsi="Calibri"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83" w:type="dxa"/>
            <w:vAlign w:val="center"/>
          </w:tcPr>
          <w:p>
            <w:pPr>
              <w:jc w:val="center"/>
              <w:rPr>
                <w:rFonts w:ascii="宋体" w:hAnsi="宋体"/>
                <w:sz w:val="18"/>
                <w:szCs w:val="18"/>
              </w:rPr>
            </w:pPr>
            <w:r>
              <w:rPr>
                <w:rFonts w:hint="eastAsia" w:ascii="宋体" w:hAnsi="宋体"/>
                <w:sz w:val="18"/>
                <w:szCs w:val="18"/>
              </w:rPr>
              <w:t>1-7</w:t>
            </w:r>
          </w:p>
        </w:tc>
        <w:tc>
          <w:tcPr>
            <w:tcW w:w="5904" w:type="dxa"/>
            <w:vAlign w:val="center"/>
          </w:tcPr>
          <w:p>
            <w:pPr>
              <w:jc w:val="center"/>
              <w:rPr>
                <w:rFonts w:ascii="仿宋_GB2312" w:hAnsi="仿宋_GB2312" w:cs="仿宋_GB2312"/>
              </w:rPr>
            </w:pPr>
            <w:r>
              <w:rPr>
                <w:rFonts w:ascii="仿宋_GB2312" w:hAnsi="仿宋_GB2312" w:cs="仿宋_GB2312"/>
              </w:rPr>
              <w:drawing>
                <wp:inline distT="0" distB="0" distL="0" distR="0">
                  <wp:extent cx="4397375" cy="2083435"/>
                  <wp:effectExtent l="19050" t="0" r="3175" b="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noChangeArrowheads="1"/>
                          </pic:cNvPicPr>
                        </pic:nvPicPr>
                        <pic:blipFill>
                          <a:blip r:embed="rId11" cstate="print"/>
                          <a:srcRect/>
                          <a:stretch>
                            <a:fillRect/>
                          </a:stretch>
                        </pic:blipFill>
                        <pic:spPr>
                          <a:xfrm>
                            <a:off x="0" y="0"/>
                            <a:ext cx="4397375" cy="2083435"/>
                          </a:xfrm>
                          <a:prstGeom prst="rect">
                            <a:avLst/>
                          </a:prstGeom>
                          <a:noFill/>
                          <a:ln w="9525">
                            <a:noFill/>
                            <a:miter lim="800000"/>
                            <a:headEnd/>
                            <a:tailEnd/>
                          </a:ln>
                        </pic:spPr>
                      </pic:pic>
                    </a:graphicData>
                  </a:graphic>
                </wp:inline>
              </w:drawing>
            </w:r>
          </w:p>
        </w:tc>
        <w:tc>
          <w:tcPr>
            <w:tcW w:w="1418" w:type="dxa"/>
            <w:vAlign w:val="center"/>
          </w:tcPr>
          <w:p>
            <w:pPr>
              <w:autoSpaceDE w:val="0"/>
              <w:autoSpaceDN w:val="0"/>
              <w:adjustRightInd w:val="0"/>
              <w:jc w:val="center"/>
              <w:rPr>
                <w:rFonts w:ascii="宋体" w:hAnsi="Calibri" w:cs="宋体"/>
                <w:kern w:val="0"/>
                <w:sz w:val="18"/>
                <w:szCs w:val="18"/>
              </w:rPr>
            </w:pPr>
            <w:r>
              <w:rPr>
                <w:rFonts w:hint="eastAsia" w:ascii="宋体" w:hAnsi="Calibri" w:cs="宋体"/>
                <w:kern w:val="0"/>
                <w:sz w:val="18"/>
                <w:szCs w:val="18"/>
              </w:rPr>
              <w:t>宣传牌</w:t>
            </w:r>
          </w:p>
        </w:tc>
        <w:tc>
          <w:tcPr>
            <w:tcW w:w="1665" w:type="dxa"/>
            <w:vAlign w:val="center"/>
          </w:tcPr>
          <w:p>
            <w:pPr>
              <w:autoSpaceDE w:val="0"/>
              <w:autoSpaceDN w:val="0"/>
              <w:adjustRightInd w:val="0"/>
              <w:jc w:val="center"/>
              <w:rPr>
                <w:rFonts w:ascii="宋体" w:hAnsi="Calibri" w:cs="宋体"/>
                <w:kern w:val="0"/>
                <w:sz w:val="18"/>
                <w:szCs w:val="18"/>
              </w:rPr>
            </w:pPr>
          </w:p>
        </w:tc>
      </w:tr>
    </w:tbl>
    <w:p>
      <w:pPr>
        <w:pStyle w:val="2"/>
        <w:jc w:val="center"/>
        <w:rPr>
          <w:sz w:val="28"/>
          <w:szCs w:val="28"/>
        </w:rPr>
      </w:pPr>
      <w:bookmarkStart w:id="56" w:name="BKCKWX"/>
      <w:bookmarkStart w:id="57" w:name="_Toc2762117"/>
      <w:bookmarkStart w:id="58" w:name="_Toc2762322"/>
      <w:bookmarkStart w:id="59" w:name="_Toc2762610"/>
      <w:bookmarkStart w:id="60" w:name="_Toc2762673"/>
      <w:bookmarkStart w:id="61" w:name="_Toc3214554"/>
      <w:r>
        <w:rPr>
          <w:rFonts w:hint="eastAsia"/>
          <w:sz w:val="28"/>
          <w:szCs w:val="28"/>
        </w:rPr>
        <w:t>参</w:t>
      </w:r>
      <w:r>
        <w:rPr>
          <w:sz w:val="28"/>
          <w:szCs w:val="28"/>
        </w:rPr>
        <w:t> </w:t>
      </w:r>
      <w:r>
        <w:rPr>
          <w:rFonts w:hint="eastAsia"/>
          <w:sz w:val="28"/>
          <w:szCs w:val="28"/>
        </w:rPr>
        <w:t>考</w:t>
      </w:r>
      <w:r>
        <w:rPr>
          <w:sz w:val="28"/>
          <w:szCs w:val="28"/>
        </w:rPr>
        <w:t> </w:t>
      </w:r>
      <w:r>
        <w:rPr>
          <w:rFonts w:hint="eastAsia"/>
          <w:sz w:val="28"/>
          <w:szCs w:val="28"/>
        </w:rPr>
        <w:t>文</w:t>
      </w:r>
      <w:r>
        <w:rPr>
          <w:sz w:val="28"/>
          <w:szCs w:val="28"/>
        </w:rPr>
        <w:t> </w:t>
      </w:r>
      <w:r>
        <w:rPr>
          <w:rFonts w:hint="eastAsia"/>
          <w:sz w:val="28"/>
          <w:szCs w:val="28"/>
        </w:rPr>
        <w:t>献</w:t>
      </w:r>
      <w:bookmarkEnd w:id="56"/>
      <w:bookmarkEnd w:id="57"/>
      <w:bookmarkEnd w:id="58"/>
      <w:bookmarkEnd w:id="59"/>
      <w:bookmarkEnd w:id="60"/>
      <w:bookmarkEnd w:id="61"/>
    </w:p>
    <w:p>
      <w:pPr>
        <w:pStyle w:val="22"/>
        <w:ind w:left="210" w:leftChars="100" w:firstLine="0" w:firstLineChars="0"/>
      </w:pPr>
      <w:r>
        <w:rPr>
          <w:rFonts w:hint="eastAsia"/>
        </w:rPr>
        <w:t>[1]托儿所、幼儿园建筑设计规范》中华人民共和国行业标准备案号J-2176-2016</w:t>
      </w:r>
    </w:p>
    <w:p>
      <w:pPr>
        <w:pStyle w:val="22"/>
        <w:ind w:left="210" w:leftChars="100" w:firstLine="0" w:firstLineChars="0"/>
      </w:pPr>
      <w:r>
        <w:rPr>
          <w:rFonts w:hint="eastAsia"/>
        </w:rPr>
        <w:t>[2]《建筑设计防火规范》GB50016</w:t>
      </w:r>
    </w:p>
    <w:p>
      <w:pPr>
        <w:pStyle w:val="22"/>
        <w:ind w:left="210" w:leftChars="100" w:firstLine="0" w:firstLineChars="0"/>
      </w:pPr>
      <w:r>
        <w:rPr>
          <w:rFonts w:hint="eastAsia"/>
        </w:rPr>
        <w:t>[3]《人员密集场所消防安全评估导则》中华人民共和国公共安全行业标准GA/T 1369-2016</w:t>
      </w:r>
    </w:p>
    <w:p>
      <w:pPr>
        <w:pStyle w:val="22"/>
        <w:ind w:left="210" w:leftChars="100" w:firstLine="0" w:firstLineChars="0"/>
      </w:pPr>
      <w:r>
        <w:rPr>
          <w:rFonts w:hint="eastAsia"/>
        </w:rPr>
        <w:t>[4]《生活饮用水卫生标准》GB5749-2006（国标）</w:t>
      </w:r>
    </w:p>
    <w:p>
      <w:pPr>
        <w:pStyle w:val="22"/>
        <w:ind w:left="210" w:leftChars="100" w:firstLine="0" w:firstLineChars="0"/>
      </w:pPr>
      <w:r>
        <w:rPr>
          <w:rFonts w:hint="eastAsia"/>
        </w:rPr>
        <w:t>[5]《中小学校和幼儿园安全防范工程技术规范》广东省地方标准DB44</w:t>
      </w:r>
    </w:p>
    <w:p>
      <w:pPr>
        <w:pStyle w:val="22"/>
        <w:ind w:left="210" w:leftChars="100" w:firstLine="0" w:firstLineChars="0"/>
      </w:pPr>
      <w:r>
        <w:rPr>
          <w:rFonts w:hint="eastAsia"/>
        </w:rPr>
        <w:t>[6]《安全防范视频监控矩阵设备通用技术要求》中华人民共和国公共安全行业标准GA/T646-2016</w:t>
      </w:r>
    </w:p>
    <w:p>
      <w:pPr>
        <w:pStyle w:val="22"/>
        <w:ind w:left="210" w:leftChars="100" w:firstLine="0" w:firstLineChars="0"/>
      </w:pPr>
      <w:r>
        <w:rPr>
          <w:rFonts w:hint="eastAsia"/>
        </w:rPr>
        <w:t>[7]《中小学、幼儿园安全技术防范系统要求》中华人民共和国国家标准GB/T29315-2012</w:t>
      </w:r>
    </w:p>
    <w:p>
      <w:pPr>
        <w:pStyle w:val="22"/>
        <w:ind w:left="210" w:leftChars="100" w:firstLine="0" w:firstLineChars="0"/>
      </w:pPr>
      <w:r>
        <w:rPr>
          <w:rFonts w:hint="eastAsia"/>
        </w:rPr>
        <w:t>[8]《城市道路和建筑物无障碍设计规范》JGJ_50-2001</w:t>
      </w:r>
    </w:p>
    <w:p>
      <w:pPr>
        <w:pStyle w:val="22"/>
        <w:ind w:left="210" w:leftChars="100" w:firstLine="0" w:firstLineChars="0"/>
      </w:pPr>
      <w:r>
        <w:rPr>
          <w:rFonts w:hint="eastAsia"/>
        </w:rPr>
        <w:t xml:space="preserve">[9]《无障碍设计规范》GB_50763-2012 </w:t>
      </w:r>
    </w:p>
    <w:p>
      <w:pPr>
        <w:pStyle w:val="22"/>
        <w:ind w:left="210" w:leftChars="100" w:firstLine="0" w:firstLineChars="0"/>
      </w:pPr>
      <w:r>
        <w:rPr>
          <w:rFonts w:hint="eastAsia"/>
        </w:rPr>
        <w:t xml:space="preserve">[10]《民用建筑隔声设计规范》GB_50118-2010 </w:t>
      </w:r>
    </w:p>
    <w:p>
      <w:pPr>
        <w:pStyle w:val="22"/>
        <w:ind w:left="210" w:leftChars="100" w:firstLine="0" w:firstLineChars="0"/>
      </w:pPr>
      <w:r>
        <w:rPr>
          <w:rFonts w:hint="eastAsia"/>
        </w:rPr>
        <w:t>[11]《托幼机构卫生保健工作规范》</w:t>
      </w:r>
    </w:p>
    <w:p>
      <w:pPr>
        <w:pStyle w:val="22"/>
        <w:ind w:left="210" w:leftChars="100" w:firstLine="0" w:firstLineChars="0"/>
      </w:pPr>
      <w:r>
        <w:rPr>
          <w:rFonts w:hint="eastAsia"/>
        </w:rPr>
        <w:t>[12]《深圳市母婴室建设标准指引（试行）》</w:t>
      </w:r>
      <w:bookmarkStart w:id="62" w:name="_GoBack"/>
      <w:bookmarkEnd w:id="62"/>
    </w:p>
    <w:p>
      <w:pPr>
        <w:pStyle w:val="22"/>
        <w:ind w:left="210" w:leftChars="100" w:firstLine="0" w:firstLineChars="0"/>
      </w:pPr>
      <w:r>
        <w:rPr>
          <w:rFonts w:hint="eastAsia"/>
        </w:rPr>
        <w:t>[13]《儿童家具通用技术条件》GB28007</w:t>
      </w:r>
    </w:p>
    <w:p>
      <w:pPr>
        <w:pStyle w:val="22"/>
        <w:ind w:left="210" w:leftChars="100" w:firstLine="0" w:firstLineChars="0"/>
      </w:pPr>
      <w:r>
        <w:rPr>
          <w:rFonts w:hint="eastAsia"/>
        </w:rPr>
        <w:t>[14]《国家玩具安全技术规范》GB6675</w:t>
      </w:r>
    </w:p>
    <w:p>
      <w:pPr>
        <w:pStyle w:val="22"/>
        <w:ind w:left="210" w:leftChars="100" w:firstLine="0" w:firstLineChars="0"/>
      </w:pPr>
      <w:r>
        <w:rPr>
          <w:rFonts w:hint="eastAsia"/>
        </w:rPr>
        <w:t>[15]《游乐设施安全规范》GB8408</w:t>
      </w:r>
    </w:p>
    <w:p>
      <w:pPr>
        <w:pStyle w:val="22"/>
        <w:ind w:left="210" w:leftChars="100" w:firstLine="0" w:firstLineChars="0"/>
        <w:rPr>
          <w:rFonts w:hint="eastAsia"/>
        </w:rPr>
      </w:pPr>
      <w:r>
        <w:rPr>
          <w:rFonts w:hint="eastAsia"/>
        </w:rPr>
        <w:t>[16]《建立在城区的婴幼儿早期教育发展指导中心硬件建设标准（试行）》</w:t>
      </w:r>
    </w:p>
    <w:p>
      <w:pPr>
        <w:pStyle w:val="22"/>
        <w:ind w:left="210" w:leftChars="100" w:firstLine="0" w:firstLineChars="0"/>
        <w:rPr>
          <w:rFonts w:hint="eastAsia"/>
        </w:rPr>
      </w:pPr>
      <w:r>
        <w:rPr>
          <w:rFonts w:hint="eastAsia"/>
          <w:lang w:val="en-US" w:eastAsia="zh-CN"/>
        </w:rPr>
        <w:t>[17] 《公共信息图形符号》 第1部分：通用符号GB/T 1000</w:t>
      </w:r>
      <w:r>
        <w:rPr>
          <w:rFonts w:hint="eastAsia"/>
        </w:rPr>
        <w:t xml:space="preserve">1.1-2012 </w:t>
      </w:r>
    </w:p>
    <w:p>
      <w:pPr>
        <w:pStyle w:val="22"/>
      </w:pPr>
    </w:p>
    <w:p>
      <w:pPr>
        <w:ind w:firstLine="424" w:firstLineChars="202"/>
      </w:pPr>
    </w:p>
    <w:sectPr>
      <w:footerReference r:id="rId3" w:type="default"/>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11937"/>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2AF5"/>
    <w:multiLevelType w:val="multilevel"/>
    <w:tmpl w:val="557C2AF5"/>
    <w:lvl w:ilvl="0" w:tentative="0">
      <w:start w:val="1"/>
      <w:numFmt w:val="decimal"/>
      <w:pStyle w:val="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1B3C"/>
    <w:rsid w:val="000226DE"/>
    <w:rsid w:val="000B162D"/>
    <w:rsid w:val="000C6D37"/>
    <w:rsid w:val="00145B8E"/>
    <w:rsid w:val="00171115"/>
    <w:rsid w:val="00183399"/>
    <w:rsid w:val="00212059"/>
    <w:rsid w:val="00286C5A"/>
    <w:rsid w:val="002B3F49"/>
    <w:rsid w:val="00315519"/>
    <w:rsid w:val="00344C07"/>
    <w:rsid w:val="00363152"/>
    <w:rsid w:val="004427BD"/>
    <w:rsid w:val="004959C1"/>
    <w:rsid w:val="005308A8"/>
    <w:rsid w:val="0055654C"/>
    <w:rsid w:val="005A0F65"/>
    <w:rsid w:val="005B0C9E"/>
    <w:rsid w:val="00660E08"/>
    <w:rsid w:val="0075558D"/>
    <w:rsid w:val="008329DE"/>
    <w:rsid w:val="008440F8"/>
    <w:rsid w:val="008C0E33"/>
    <w:rsid w:val="00933602"/>
    <w:rsid w:val="00964945"/>
    <w:rsid w:val="00981B3C"/>
    <w:rsid w:val="00A5780F"/>
    <w:rsid w:val="00A72DDF"/>
    <w:rsid w:val="00A93282"/>
    <w:rsid w:val="00AB47EB"/>
    <w:rsid w:val="00C83044"/>
    <w:rsid w:val="00CF322D"/>
    <w:rsid w:val="00D86310"/>
    <w:rsid w:val="00E66BD0"/>
    <w:rsid w:val="00EA6C29"/>
    <w:rsid w:val="00F370FF"/>
    <w:rsid w:val="00F8047A"/>
    <w:rsid w:val="00F82CC7"/>
    <w:rsid w:val="00FA3C5A"/>
    <w:rsid w:val="00FE6009"/>
    <w:rsid w:val="1A665732"/>
    <w:rsid w:val="54F6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unhideWhenUsed/>
    <w:uiPriority w:val="99"/>
    <w:rPr>
      <w:b/>
      <w:bCs/>
    </w:rPr>
  </w:style>
  <w:style w:type="paragraph" w:styleId="6">
    <w:name w:val="annotation text"/>
    <w:basedOn w:val="1"/>
    <w:link w:val="30"/>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19"/>
    <w:unhideWhenUsed/>
    <w:qFormat/>
    <w:uiPriority w:val="99"/>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character" w:styleId="14">
    <w:name w:val="Hyperlink"/>
    <w:basedOn w:val="13"/>
    <w:unhideWhenUsed/>
    <w:qFormat/>
    <w:uiPriority w:val="99"/>
    <w:rPr>
      <w:color w:val="0000FF" w:themeColor="hyperlink"/>
      <w:u w:val="single"/>
    </w:rPr>
  </w:style>
  <w:style w:type="character" w:styleId="15">
    <w:name w:val="annotation reference"/>
    <w:basedOn w:val="13"/>
    <w:unhideWhenUsed/>
    <w:uiPriority w:val="99"/>
    <w:rPr>
      <w:sz w:val="21"/>
      <w:szCs w:val="21"/>
    </w:rPr>
  </w:style>
  <w:style w:type="character" w:customStyle="1" w:styleId="17">
    <w:name w:val="标题 1 Char"/>
    <w:basedOn w:val="13"/>
    <w:link w:val="2"/>
    <w:qFormat/>
    <w:uiPriority w:val="9"/>
    <w:rPr>
      <w:b/>
      <w:bCs/>
      <w:kern w:val="44"/>
      <w:sz w:val="44"/>
      <w:szCs w:val="44"/>
    </w:rPr>
  </w:style>
  <w:style w:type="paragraph" w:customStyle="1" w:styleId="1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9">
    <w:name w:val="批注框文本 Char"/>
    <w:basedOn w:val="13"/>
    <w:link w:val="8"/>
    <w:semiHidden/>
    <w:qFormat/>
    <w:uiPriority w:val="99"/>
    <w:rPr>
      <w:sz w:val="18"/>
      <w:szCs w:val="18"/>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character" w:customStyle="1" w:styleId="21">
    <w:name w:val="标题 3 Char"/>
    <w:basedOn w:val="13"/>
    <w:link w:val="4"/>
    <w:qFormat/>
    <w:uiPriority w:val="9"/>
    <w:rPr>
      <w:b/>
      <w:bCs/>
      <w:sz w:val="32"/>
      <w:szCs w:val="32"/>
    </w:rPr>
  </w:style>
  <w:style w:type="paragraph" w:customStyle="1" w:styleId="22">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3">
    <w:name w:val="段 Char"/>
    <w:link w:val="22"/>
    <w:uiPriority w:val="0"/>
    <w:rPr>
      <w:rFonts w:ascii="宋体" w:hAnsi="Times New Roman" w:eastAsia="宋体" w:cs="Times New Roman"/>
      <w:kern w:val="0"/>
      <w:szCs w:val="20"/>
    </w:rPr>
  </w:style>
  <w:style w:type="paragraph" w:customStyle="1" w:styleId="24">
    <w:name w:val="参考文献"/>
    <w:basedOn w:val="1"/>
    <w:next w:val="22"/>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25">
    <w:name w:val="正文表标题"/>
    <w:next w:val="22"/>
    <w:qFormat/>
    <w:uiPriority w:val="0"/>
    <w:pPr>
      <w:tabs>
        <w:tab w:val="left" w:pos="720"/>
      </w:tabs>
      <w:spacing w:beforeLines="50" w:afterLines="50"/>
      <w:ind w:left="720" w:hanging="720"/>
      <w:jc w:val="center"/>
    </w:pPr>
    <w:rPr>
      <w:rFonts w:ascii="黑体" w:hAnsi="Times New Roman" w:eastAsia="黑体" w:cs="Times New Roman"/>
      <w:kern w:val="0"/>
      <w:sz w:val="21"/>
      <w:szCs w:val="20"/>
      <w:lang w:val="en-US" w:eastAsia="zh-CN" w:bidi="ar-SA"/>
    </w:rPr>
  </w:style>
  <w:style w:type="paragraph" w:customStyle="1" w:styleId="26">
    <w:name w:val="正文图标题"/>
    <w:next w:val="22"/>
    <w:qFormat/>
    <w:uiPriority w:val="0"/>
    <w:pPr>
      <w:numPr>
        <w:ilvl w:val="0"/>
        <w:numId w:val="1"/>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27">
    <w:name w:val="其他发布日期"/>
    <w:basedOn w:val="1"/>
    <w:qFormat/>
    <w:uiPriority w:val="0"/>
    <w:pPr>
      <w:framePr w:w="3997" w:h="471" w:hRule="exact" w:vSpace="181" w:wrap="around" w:vAnchor="page" w:hAnchor="page" w:x="1419" w:y="14097" w:anchorLock="1"/>
      <w:widowControl/>
      <w:numPr>
        <w:ilvl w:val="0"/>
        <w:numId w:val="2"/>
      </w:numPr>
      <w:jc w:val="left"/>
    </w:pPr>
    <w:rPr>
      <w:rFonts w:ascii="Times New Roman" w:hAnsi="Times New Roman" w:eastAsia="黑体" w:cs="Times New Roman"/>
      <w:kern w:val="0"/>
      <w:sz w:val="28"/>
      <w:szCs w:val="20"/>
    </w:rPr>
  </w:style>
  <w:style w:type="character" w:customStyle="1" w:styleId="28">
    <w:name w:val="页眉 Char"/>
    <w:basedOn w:val="13"/>
    <w:link w:val="10"/>
    <w:semiHidden/>
    <w:qFormat/>
    <w:uiPriority w:val="99"/>
    <w:rPr>
      <w:sz w:val="18"/>
      <w:szCs w:val="18"/>
    </w:rPr>
  </w:style>
  <w:style w:type="character" w:customStyle="1" w:styleId="29">
    <w:name w:val="页脚 Char"/>
    <w:basedOn w:val="13"/>
    <w:link w:val="9"/>
    <w:qFormat/>
    <w:uiPriority w:val="99"/>
    <w:rPr>
      <w:sz w:val="18"/>
      <w:szCs w:val="18"/>
    </w:rPr>
  </w:style>
  <w:style w:type="character" w:customStyle="1" w:styleId="30">
    <w:name w:val="批注文字 Char"/>
    <w:basedOn w:val="13"/>
    <w:link w:val="6"/>
    <w:semiHidden/>
    <w:qFormat/>
    <w:uiPriority w:val="99"/>
  </w:style>
  <w:style w:type="character" w:customStyle="1" w:styleId="31">
    <w:name w:val="批注主题 Char"/>
    <w:basedOn w:val="30"/>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DD439-0E7E-4CA8-B373-46F56AAFB9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1062</Words>
  <Characters>6055</Characters>
  <Lines>50</Lines>
  <Paragraphs>14</Paragraphs>
  <TotalTime>6</TotalTime>
  <ScaleCrop>false</ScaleCrop>
  <LinksUpToDate>false</LinksUpToDate>
  <CharactersWithSpaces>7103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2019-03-11T06:06:00Z</dcterms:created>
  <dc:creator>Admin</dc:creator>
  <cp:lastModifiedBy>NTKO</cp:lastModifiedBy>
  <cp:lastPrinted>2019-03-12T08:40:00Z</cp:lastPrinted>
  <dcterms:modified xsi:type="dcterms:W3CDTF">2019-06-19T07:46:39Z</dcterms:modified>
  <dc:title>深圳市儿童早期发展科学育儿指导中心（站）建设指南</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