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</w:rPr>
        <w:t>培训时间安排</w:t>
      </w:r>
      <w:r>
        <w:rPr>
          <w:rFonts w:hint="eastAsia" w:ascii="方正小标宋简体" w:hAnsi="宋体" w:eastAsia="方正小标宋简体"/>
          <w:color w:val="auto"/>
          <w:sz w:val="32"/>
          <w:szCs w:val="32"/>
          <w:lang w:eastAsia="zh-CN"/>
        </w:rPr>
        <w:t>表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32"/>
          <w:szCs w:val="32"/>
          <w:lang w:eastAsia="zh-CN"/>
        </w:rPr>
      </w:pPr>
    </w:p>
    <w:tbl>
      <w:tblPr>
        <w:tblStyle w:val="2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675"/>
        <w:gridCol w:w="1215"/>
        <w:gridCol w:w="2265"/>
        <w:gridCol w:w="36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授课内容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15日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14:00-17:30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儿童疾病诊断和治疗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李永柏（深圳市儿童医院）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儿童喂养及预防接种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蔡春虹（宝安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医院集团大浪社康）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儿童常用药物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张玉彩（龙华区人民医院全科教研室）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黄为民（深圳市儿童医院）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营养性疾病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刘坚（宝安人民医院(集团)第一人民医院）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叶远区（龙华区人民医院龙园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消化系统疾病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刘杰波（罗湖医院集团罗湖区人民医院）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呼吸系统疾病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郑跃杰（深圳市儿童医院）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过敏性疾病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鲍燕敏（深圳市儿童医院）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张双船（北京大学深圳医院）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泌尿系统疾病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郭明秋（南山区人民医院大汪社康）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血液系统疾病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王缨（深圳市儿童医院）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神经肌肉系统疾病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张蔚（深圳市人民医院龙华分院）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风湿免疫性疾病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梁芳芳（深圳市儿童医院）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内分泌和遗传代谢性疾病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董国庆（深圳市妇幼保健院）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18日</w:t>
            </w: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急诊和危急重症的识别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刘纯义（宝安区妇幼保健院）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平民</cp:lastModifiedBy>
  <dcterms:modified xsi:type="dcterms:W3CDTF">2019-06-18T01:15:39Z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