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356F1" w14:textId="77777777" w:rsidR="00700B26" w:rsidRDefault="00700B26" w:rsidP="00700B26">
      <w:pPr>
        <w:spacing w:line="400" w:lineRule="exact"/>
        <w:jc w:val="center"/>
        <w:rPr>
          <w:rFonts w:ascii="方正小标宋_GBK" w:eastAsia="方正小标宋_GBK"/>
          <w:sz w:val="44"/>
          <w:szCs w:val="44"/>
        </w:rPr>
      </w:pPr>
    </w:p>
    <w:p w14:paraId="18A2AA84" w14:textId="2609A991" w:rsidR="00EA1F2C" w:rsidRDefault="00700B26" w:rsidP="00700B26">
      <w:pPr>
        <w:jc w:val="center"/>
        <w:rPr>
          <w:rFonts w:ascii="方正小标宋_GBK" w:eastAsia="方正小标宋_GBK"/>
          <w:sz w:val="44"/>
          <w:szCs w:val="44"/>
        </w:rPr>
      </w:pPr>
      <w:r w:rsidRPr="00700B26">
        <w:rPr>
          <w:rFonts w:ascii="方正小标宋_GBK" w:eastAsia="方正小标宋_GBK" w:hint="eastAsia"/>
          <w:sz w:val="44"/>
          <w:szCs w:val="44"/>
        </w:rPr>
        <w:t>听证会主要议题及相关条文</w:t>
      </w:r>
    </w:p>
    <w:p w14:paraId="5BBAD58C" w14:textId="3BE22638" w:rsidR="00700B26" w:rsidRDefault="00700B26" w:rsidP="00700B26">
      <w:pPr>
        <w:spacing w:line="480" w:lineRule="exact"/>
        <w:jc w:val="center"/>
        <w:rPr>
          <w:rFonts w:ascii="方正小标宋_GBK" w:eastAsia="方正小标宋_GBK"/>
          <w:sz w:val="24"/>
          <w:szCs w:val="24"/>
        </w:rPr>
      </w:pPr>
    </w:p>
    <w:p w14:paraId="6DE1115A" w14:textId="78C52B5E" w:rsidR="00700B26" w:rsidRDefault="00963B6E" w:rsidP="00963B6E">
      <w:pPr>
        <w:spacing w:line="580" w:lineRule="exact"/>
        <w:ind w:firstLineChars="200" w:firstLine="640"/>
        <w:rPr>
          <w:rFonts w:ascii="黑体" w:eastAsia="黑体" w:hAnsi="黑体"/>
          <w:sz w:val="32"/>
          <w:szCs w:val="32"/>
        </w:rPr>
      </w:pPr>
      <w:r w:rsidRPr="00963B6E">
        <w:rPr>
          <w:rFonts w:ascii="黑体" w:eastAsia="黑体" w:hAnsi="黑体" w:hint="eastAsia"/>
          <w:sz w:val="32"/>
          <w:szCs w:val="32"/>
        </w:rPr>
        <w:t>一、</w:t>
      </w:r>
      <w:r w:rsidRPr="00963B6E">
        <w:rPr>
          <w:rFonts w:ascii="黑体" w:eastAsia="黑体" w:hAnsi="黑体" w:hint="eastAsia"/>
          <w:sz w:val="32"/>
          <w:szCs w:val="32"/>
        </w:rPr>
        <w:t>是否赞同医疗机构在诊治患者过程中需要进行转诊的转诊情形？</w:t>
      </w:r>
    </w:p>
    <w:p w14:paraId="6DC2598B" w14:textId="77777777" w:rsidR="00963B6E" w:rsidRDefault="00963B6E" w:rsidP="00963B6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第六条 </w:t>
      </w:r>
      <w:r>
        <w:rPr>
          <w:rFonts w:ascii="仿宋_GB2312" w:eastAsia="仿宋_GB2312" w:hAnsi="仿宋_GB2312" w:cs="仿宋_GB2312" w:hint="eastAsia"/>
          <w:sz w:val="32"/>
          <w:szCs w:val="32"/>
        </w:rPr>
        <w:t>医疗机构在诊治患者过程中存在下列情形之一的</w:t>
      </w:r>
      <w:r>
        <w:rPr>
          <w:rFonts w:ascii="仿宋_GB2312" w:eastAsia="仿宋_GB2312" w:hAnsi="Arial" w:cs="Arial" w:hint="eastAsia"/>
          <w:color w:val="000000"/>
          <w:sz w:val="32"/>
          <w:szCs w:val="32"/>
        </w:rPr>
        <w:t>，应当将患者转往具有诊疗、救治能力的医疗机构：</w:t>
      </w:r>
    </w:p>
    <w:p w14:paraId="53F20C2D" w14:textId="77777777" w:rsidR="00963B6E" w:rsidRDefault="00963B6E" w:rsidP="00963B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（一）疾病诊治超出医疗机构执业登记的诊疗科目；</w:t>
      </w:r>
    </w:p>
    <w:p w14:paraId="07C9FCBB" w14:textId="77777777" w:rsidR="00963B6E" w:rsidRDefault="00963B6E" w:rsidP="00963B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（二）不具备相应的医疗技术临床应用资质或者手术资质；</w:t>
      </w:r>
    </w:p>
    <w:p w14:paraId="6AF1585D" w14:textId="77777777" w:rsidR="00963B6E" w:rsidRDefault="00963B6E" w:rsidP="00963B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（三）病情疑难复杂不能明确诊断，需要进一步诊治的；</w:t>
      </w:r>
    </w:p>
    <w:p w14:paraId="47D7DE19" w14:textId="77777777" w:rsidR="00963B6E" w:rsidRDefault="00963B6E" w:rsidP="00963B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（四）限于医疗机构的诊疗水平、技术能力或者设备条件等，不具备诊治能力的；</w:t>
      </w:r>
    </w:p>
    <w:p w14:paraId="3F7037BA" w14:textId="77777777" w:rsidR="00963B6E" w:rsidRDefault="00963B6E" w:rsidP="00963B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（五）属于急性传染病或者原因不明的传染病或按照有关规定需转入指定医疗机构治疗的；</w:t>
      </w:r>
    </w:p>
    <w:p w14:paraId="4F16C1D2" w14:textId="77777777" w:rsidR="00963B6E" w:rsidRDefault="00963B6E" w:rsidP="00963B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（六）卫生健康行政部门规定的其他情形。</w:t>
      </w:r>
    </w:p>
    <w:p w14:paraId="37167AAB" w14:textId="77777777" w:rsidR="00963B6E" w:rsidRDefault="00963B6E" w:rsidP="00963B6E">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二、三级医院在诊治患者过程中存在下列情形之一的</w:t>
      </w:r>
      <w:r>
        <w:rPr>
          <w:rFonts w:ascii="仿宋_GB2312" w:eastAsia="仿宋_GB2312" w:hAnsi="Arial" w:cs="Arial" w:hint="eastAsia"/>
          <w:color w:val="000000"/>
          <w:sz w:val="32"/>
          <w:szCs w:val="32"/>
        </w:rPr>
        <w:t>，</w:t>
      </w:r>
      <w:r>
        <w:rPr>
          <w:rFonts w:ascii="仿宋_GB2312" w:eastAsia="仿宋_GB2312" w:hAnsi="仿宋_GB2312" w:cs="仿宋_GB2312" w:hint="eastAsia"/>
          <w:sz w:val="32"/>
          <w:szCs w:val="32"/>
        </w:rPr>
        <w:t>应当将患者转往诊疗能力相适应的基层医疗机构：</w:t>
      </w:r>
    </w:p>
    <w:p w14:paraId="746CC2BE" w14:textId="77777777" w:rsidR="00963B6E" w:rsidRDefault="00963B6E" w:rsidP="00963B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（一）一般常见病、多发病，急、慢性病缓解期；</w:t>
      </w:r>
    </w:p>
    <w:p w14:paraId="0B77DDF3" w14:textId="77777777" w:rsidR="00963B6E" w:rsidRDefault="00963B6E" w:rsidP="00963B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（二）诊断明确的慢性非传染性疾病患者且病情稳定，无需继续住院或者特殊治疗，但需要维持治疗的；</w:t>
      </w:r>
    </w:p>
    <w:p w14:paraId="108A6E8D" w14:textId="77777777" w:rsidR="00963B6E" w:rsidRDefault="00963B6E" w:rsidP="00963B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（三）手术后病情稳定，仅需康复医疗或者定期复诊的。</w:t>
      </w:r>
    </w:p>
    <w:p w14:paraId="29BFBE56" w14:textId="77777777" w:rsidR="00963B6E" w:rsidRDefault="00963B6E" w:rsidP="00963B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（四）各种疾病</w:t>
      </w:r>
      <w:proofErr w:type="gramStart"/>
      <w:r>
        <w:rPr>
          <w:rFonts w:ascii="仿宋_GB2312" w:eastAsia="仿宋_GB2312" w:hAnsi="仿宋_GB2312" w:cs="仿宋_GB2312" w:hint="eastAsia"/>
          <w:sz w:val="32"/>
          <w:szCs w:val="32"/>
        </w:rPr>
        <w:t>晚期仅</w:t>
      </w:r>
      <w:proofErr w:type="gramEnd"/>
      <w:r>
        <w:rPr>
          <w:rFonts w:ascii="仿宋_GB2312" w:eastAsia="仿宋_GB2312" w:hAnsi="仿宋_GB2312" w:cs="仿宋_GB2312" w:hint="eastAsia"/>
          <w:sz w:val="32"/>
          <w:szCs w:val="32"/>
        </w:rPr>
        <w:t>需保守、支持、姑息治疗或者临终关怀的；</w:t>
      </w:r>
    </w:p>
    <w:p w14:paraId="3BF5BC0A" w14:textId="77777777" w:rsidR="00963B6E" w:rsidRDefault="00963B6E" w:rsidP="00963B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（五）老年护理；</w:t>
      </w:r>
    </w:p>
    <w:p w14:paraId="5D3B9A75" w14:textId="77777777" w:rsidR="00963B6E" w:rsidRDefault="00963B6E" w:rsidP="00963B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（六）卫生健康行政部门规定的其他情形。</w:t>
      </w:r>
    </w:p>
    <w:p w14:paraId="32DE6A3E" w14:textId="2F3D6ED2" w:rsidR="00963B6E" w:rsidRPr="00963B6E" w:rsidRDefault="00963B6E" w:rsidP="00963B6E">
      <w:pPr>
        <w:spacing w:line="580" w:lineRule="exact"/>
        <w:ind w:firstLineChars="200" w:firstLine="640"/>
        <w:rPr>
          <w:rFonts w:ascii="黑体" w:eastAsia="黑体" w:hAnsi="黑体" w:hint="eastAsia"/>
          <w:sz w:val="32"/>
          <w:szCs w:val="32"/>
        </w:rPr>
      </w:pPr>
      <w:r w:rsidRPr="00963B6E">
        <w:rPr>
          <w:rFonts w:ascii="黑体" w:eastAsia="黑体" w:hAnsi="黑体" w:hint="eastAsia"/>
          <w:sz w:val="32"/>
          <w:szCs w:val="32"/>
        </w:rPr>
        <w:t>二</w:t>
      </w:r>
      <w:r w:rsidRPr="00963B6E">
        <w:rPr>
          <w:rFonts w:ascii="黑体" w:eastAsia="黑体" w:hAnsi="黑体" w:hint="eastAsia"/>
          <w:sz w:val="32"/>
          <w:szCs w:val="32"/>
        </w:rPr>
        <w:t>、</w:t>
      </w:r>
      <w:r w:rsidRPr="00963B6E">
        <w:rPr>
          <w:rFonts w:ascii="黑体" w:eastAsia="黑体" w:hAnsi="黑体" w:hint="eastAsia"/>
          <w:sz w:val="32"/>
          <w:szCs w:val="32"/>
        </w:rPr>
        <w:t>是否赞同需要转诊时转入医疗机构的转诊原则？</w:t>
      </w:r>
    </w:p>
    <w:p w14:paraId="672B0695" w14:textId="77777777" w:rsidR="00963B6E" w:rsidRPr="00DA0F5F" w:rsidRDefault="00963B6E" w:rsidP="00963B6E">
      <w:pPr>
        <w:pStyle w:val="a7"/>
        <w:spacing w:before="0" w:beforeAutospacing="0" w:after="0" w:afterAutospacing="0" w:line="560" w:lineRule="exact"/>
        <w:ind w:firstLineChars="200" w:firstLine="643"/>
        <w:jc w:val="both"/>
        <w:rPr>
          <w:rStyle w:val="a8"/>
          <w:rFonts w:ascii="仿宋_GB2312" w:eastAsia="仿宋_GB2312" w:hAnsi="Arial" w:cs="Arial"/>
          <w:b w:val="0"/>
          <w:bCs w:val="0"/>
          <w:color w:val="000000"/>
          <w:sz w:val="32"/>
          <w:szCs w:val="32"/>
        </w:rPr>
      </w:pPr>
      <w:r>
        <w:rPr>
          <w:rFonts w:ascii="仿宋_GB2312" w:eastAsia="仿宋_GB2312" w:hAnsi="仿宋_GB2312" w:cs="仿宋_GB2312" w:hint="eastAsia"/>
          <w:b/>
          <w:bCs/>
          <w:sz w:val="32"/>
          <w:szCs w:val="32"/>
        </w:rPr>
        <w:t>第九条</w:t>
      </w:r>
      <w:r>
        <w:rPr>
          <w:rStyle w:val="a8"/>
          <w:rFonts w:ascii="仿宋_GB2312" w:eastAsia="仿宋_GB2312" w:hAnsi="Arial" w:cs="Arial" w:hint="eastAsia"/>
          <w:color w:val="000000"/>
          <w:sz w:val="32"/>
          <w:szCs w:val="32"/>
        </w:rPr>
        <w:t xml:space="preserve"> </w:t>
      </w:r>
      <w:r w:rsidRPr="00DA0F5F">
        <w:rPr>
          <w:rStyle w:val="a8"/>
          <w:rFonts w:ascii="仿宋_GB2312" w:eastAsia="仿宋_GB2312" w:hAnsi="Arial" w:cs="Arial" w:hint="eastAsia"/>
          <w:b w:val="0"/>
          <w:bCs w:val="0"/>
          <w:color w:val="000000"/>
          <w:sz w:val="32"/>
          <w:szCs w:val="32"/>
        </w:rPr>
        <w:t>医疗机构根据本办法第六条规定，经转诊委员会评估后确需转诊的患者，应当依托市卫生健康行政部门划定的各区区域医疗中心、各专科区域医疗中心和基层医疗集团，进行</w:t>
      </w:r>
      <w:proofErr w:type="gramStart"/>
      <w:r w:rsidRPr="00DA0F5F">
        <w:rPr>
          <w:rStyle w:val="a8"/>
          <w:rFonts w:ascii="仿宋_GB2312" w:eastAsia="仿宋_GB2312" w:hAnsi="Arial" w:cs="Arial" w:hint="eastAsia"/>
          <w:b w:val="0"/>
          <w:bCs w:val="0"/>
          <w:color w:val="000000"/>
          <w:sz w:val="32"/>
          <w:szCs w:val="32"/>
        </w:rPr>
        <w:t>分片区</w:t>
      </w:r>
      <w:proofErr w:type="gramEnd"/>
      <w:r w:rsidRPr="00DA0F5F">
        <w:rPr>
          <w:rStyle w:val="a8"/>
          <w:rFonts w:ascii="仿宋_GB2312" w:eastAsia="仿宋_GB2312" w:hAnsi="Arial" w:cs="Arial" w:hint="eastAsia"/>
          <w:b w:val="0"/>
          <w:bCs w:val="0"/>
          <w:color w:val="000000"/>
          <w:sz w:val="32"/>
          <w:szCs w:val="32"/>
        </w:rPr>
        <w:t>和分专科转诊，主要包括下列原则：</w:t>
      </w:r>
    </w:p>
    <w:p w14:paraId="78A873F1" w14:textId="77777777" w:rsidR="00963B6E" w:rsidRPr="00DA0F5F" w:rsidRDefault="00963B6E" w:rsidP="00963B6E">
      <w:pPr>
        <w:pStyle w:val="a7"/>
        <w:spacing w:before="0" w:beforeAutospacing="0" w:after="0" w:afterAutospacing="0" w:line="560" w:lineRule="exact"/>
        <w:ind w:firstLineChars="200" w:firstLine="640"/>
        <w:jc w:val="both"/>
        <w:rPr>
          <w:rStyle w:val="a8"/>
          <w:rFonts w:ascii="仿宋_GB2312" w:eastAsia="仿宋_GB2312" w:hAnsi="Arial" w:cs="Arial"/>
          <w:b w:val="0"/>
          <w:bCs w:val="0"/>
          <w:color w:val="000000"/>
          <w:sz w:val="32"/>
          <w:szCs w:val="32"/>
        </w:rPr>
      </w:pPr>
      <w:r w:rsidRPr="00DA0F5F">
        <w:rPr>
          <w:rStyle w:val="a8"/>
          <w:rFonts w:ascii="仿宋_GB2312" w:eastAsia="仿宋_GB2312" w:hAnsi="Arial" w:cs="Arial" w:hint="eastAsia"/>
          <w:b w:val="0"/>
          <w:bCs w:val="0"/>
          <w:color w:val="000000"/>
          <w:sz w:val="32"/>
          <w:szCs w:val="32"/>
        </w:rPr>
        <w:t>（一）优先、就近转往所在区的二、三级综合医院或者相应专科医院；前述医疗机构不具备诊疗救治能力时，转往所在区区域医疗中心；</w:t>
      </w:r>
    </w:p>
    <w:p w14:paraId="7174E161" w14:textId="77777777" w:rsidR="00963B6E" w:rsidRPr="00DA0F5F" w:rsidRDefault="00963B6E" w:rsidP="00963B6E">
      <w:pPr>
        <w:pStyle w:val="a7"/>
        <w:spacing w:before="0" w:beforeAutospacing="0" w:after="0" w:afterAutospacing="0" w:line="560" w:lineRule="exact"/>
        <w:ind w:firstLineChars="200" w:firstLine="640"/>
        <w:jc w:val="both"/>
        <w:rPr>
          <w:rStyle w:val="a8"/>
          <w:rFonts w:ascii="仿宋_GB2312" w:eastAsia="仿宋_GB2312" w:hAnsi="Arial" w:cs="Arial"/>
          <w:b w:val="0"/>
          <w:bCs w:val="0"/>
          <w:color w:val="000000"/>
          <w:sz w:val="32"/>
          <w:szCs w:val="32"/>
        </w:rPr>
      </w:pPr>
      <w:r w:rsidRPr="00DA0F5F">
        <w:rPr>
          <w:rStyle w:val="a8"/>
          <w:rFonts w:ascii="仿宋_GB2312" w:eastAsia="仿宋_GB2312" w:hAnsi="Arial" w:cs="Arial" w:hint="eastAsia"/>
          <w:b w:val="0"/>
          <w:bCs w:val="0"/>
          <w:color w:val="000000"/>
          <w:sz w:val="32"/>
          <w:szCs w:val="32"/>
        </w:rPr>
        <w:t>（二）传染病、精神病患者转往市卫生健康行政部门指定的相应专科医疗机构；</w:t>
      </w:r>
    </w:p>
    <w:p w14:paraId="2BF737C2" w14:textId="77777777" w:rsidR="00963B6E" w:rsidRDefault="00963B6E" w:rsidP="00963B6E">
      <w:pPr>
        <w:pStyle w:val="a7"/>
        <w:spacing w:before="0" w:beforeAutospacing="0" w:after="0" w:afterAutospacing="0" w:line="560" w:lineRule="exact"/>
        <w:ind w:firstLineChars="200" w:firstLine="640"/>
        <w:jc w:val="both"/>
        <w:rPr>
          <w:rFonts w:ascii="仿宋_GB2312" w:eastAsia="仿宋_GB2312" w:hAnsi="Arial" w:cs="Arial"/>
          <w:color w:val="000000"/>
          <w:sz w:val="32"/>
          <w:szCs w:val="32"/>
        </w:rPr>
      </w:pPr>
      <w:r w:rsidRPr="00DA0F5F">
        <w:rPr>
          <w:rStyle w:val="a8"/>
          <w:rFonts w:ascii="仿宋_GB2312" w:eastAsia="仿宋_GB2312" w:hAnsi="Arial" w:cs="Arial" w:hint="eastAsia"/>
          <w:b w:val="0"/>
          <w:bCs w:val="0"/>
          <w:color w:val="000000"/>
          <w:sz w:val="32"/>
          <w:szCs w:val="32"/>
        </w:rPr>
        <w:t>（三）</w:t>
      </w:r>
      <w:r>
        <w:rPr>
          <w:rFonts w:ascii="仿宋_GB2312" w:eastAsia="仿宋_GB2312" w:hAnsi="Arial" w:cs="Arial" w:hint="eastAsia"/>
          <w:color w:val="000000"/>
          <w:sz w:val="32"/>
          <w:szCs w:val="32"/>
        </w:rPr>
        <w:t>医疗机构间签订了转诊协议的，可以按照协议约定进行转诊；</w:t>
      </w:r>
    </w:p>
    <w:p w14:paraId="4622C825" w14:textId="77777777" w:rsidR="00963B6E" w:rsidRDefault="00963B6E" w:rsidP="00963B6E">
      <w:pPr>
        <w:pStyle w:val="a7"/>
        <w:spacing w:before="0" w:beforeAutospacing="0" w:after="0" w:afterAutospacing="0" w:line="560" w:lineRule="exact"/>
        <w:ind w:firstLineChars="200" w:firstLine="640"/>
        <w:jc w:val="both"/>
        <w:rPr>
          <w:rStyle w:val="a8"/>
          <w:rFonts w:ascii="仿宋_GB2312" w:eastAsia="仿宋_GB2312" w:hAnsi="Arial" w:cs="Arial"/>
          <w:b w:val="0"/>
          <w:bCs w:val="0"/>
          <w:color w:val="000000"/>
          <w:sz w:val="32"/>
          <w:szCs w:val="32"/>
        </w:rPr>
      </w:pPr>
      <w:r>
        <w:rPr>
          <w:rFonts w:ascii="仿宋_GB2312" w:eastAsia="仿宋_GB2312" w:hAnsi="Arial" w:cs="Arial" w:hint="eastAsia"/>
          <w:color w:val="000000"/>
          <w:sz w:val="32"/>
          <w:szCs w:val="32"/>
        </w:rPr>
        <w:t>（四）基层医疗集团内部以及急</w:t>
      </w:r>
      <w:proofErr w:type="gramStart"/>
      <w:r>
        <w:rPr>
          <w:rFonts w:ascii="仿宋_GB2312" w:eastAsia="仿宋_GB2312" w:hAnsi="Arial" w:cs="Arial" w:hint="eastAsia"/>
          <w:color w:val="000000"/>
          <w:sz w:val="32"/>
          <w:szCs w:val="32"/>
        </w:rPr>
        <w:t>危重症孕产妇</w:t>
      </w:r>
      <w:proofErr w:type="gramEnd"/>
      <w:r>
        <w:rPr>
          <w:rFonts w:ascii="仿宋_GB2312" w:eastAsia="仿宋_GB2312" w:hAnsi="Arial" w:cs="Arial" w:hint="eastAsia"/>
          <w:color w:val="000000"/>
          <w:sz w:val="32"/>
          <w:szCs w:val="32"/>
        </w:rPr>
        <w:t>的转诊按照相关转诊规定执行。</w:t>
      </w:r>
    </w:p>
    <w:p w14:paraId="3F6515E6" w14:textId="77777777" w:rsidR="00963B6E" w:rsidRDefault="00963B6E" w:rsidP="00963B6E">
      <w:pPr>
        <w:pStyle w:val="a7"/>
        <w:numPr>
          <w:ilvl w:val="255"/>
          <w:numId w:val="0"/>
        </w:numPr>
        <w:spacing w:before="0" w:beforeAutospacing="0" w:after="0" w:afterAutospacing="0" w:line="560" w:lineRule="exact"/>
        <w:ind w:firstLineChars="200" w:firstLine="643"/>
        <w:jc w:val="both"/>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 xml:space="preserve">第十条 </w:t>
      </w:r>
      <w:r w:rsidRPr="00241948">
        <w:rPr>
          <w:rStyle w:val="a8"/>
          <w:rFonts w:ascii="仿宋_GB2312" w:eastAsia="仿宋_GB2312" w:hAnsi="Arial" w:cs="Arial" w:hint="eastAsia"/>
          <w:b w:val="0"/>
          <w:bCs w:val="0"/>
          <w:color w:val="000000"/>
          <w:sz w:val="32"/>
          <w:szCs w:val="32"/>
        </w:rPr>
        <w:t>医疗机构根据本办法第七条规定，对可以转诊的患者应当优先转往患者居住地的基层医疗机构。</w:t>
      </w:r>
    </w:p>
    <w:p w14:paraId="7B65C13A" w14:textId="49A6FC43" w:rsidR="00CF45B0" w:rsidRPr="00CF45B0" w:rsidRDefault="00CF45B0" w:rsidP="00CF45B0">
      <w:pPr>
        <w:spacing w:line="580" w:lineRule="exact"/>
        <w:ind w:firstLineChars="200" w:firstLine="640"/>
        <w:rPr>
          <w:rFonts w:ascii="黑体" w:eastAsia="黑体" w:hAnsi="黑体"/>
          <w:sz w:val="32"/>
          <w:szCs w:val="32"/>
        </w:rPr>
      </w:pPr>
      <w:r w:rsidRPr="00CF45B0">
        <w:rPr>
          <w:rFonts w:ascii="黑体" w:eastAsia="黑体" w:hAnsi="黑体" w:hint="eastAsia"/>
          <w:sz w:val="32"/>
          <w:szCs w:val="32"/>
        </w:rPr>
        <w:t>三</w:t>
      </w:r>
      <w:r w:rsidRPr="00CF45B0">
        <w:rPr>
          <w:rFonts w:ascii="黑体" w:eastAsia="黑体" w:hAnsi="黑体" w:hint="eastAsia"/>
          <w:sz w:val="32"/>
          <w:szCs w:val="32"/>
        </w:rPr>
        <w:t>、</w:t>
      </w:r>
      <w:r w:rsidRPr="00CF45B0">
        <w:rPr>
          <w:rFonts w:ascii="黑体" w:eastAsia="黑体" w:hAnsi="黑体" w:hint="eastAsia"/>
          <w:sz w:val="32"/>
          <w:szCs w:val="32"/>
        </w:rPr>
        <w:t>是否赞同需要转诊时的转诊流程？</w:t>
      </w:r>
    </w:p>
    <w:p w14:paraId="67D063CC" w14:textId="77777777" w:rsidR="00D2600C" w:rsidRDefault="00D2600C" w:rsidP="00D2600C">
      <w:pPr>
        <w:pStyle w:val="a7"/>
        <w:spacing w:before="0" w:beforeAutospacing="0" w:after="0" w:afterAutospacing="0" w:line="560" w:lineRule="exact"/>
        <w:ind w:firstLineChars="200" w:firstLine="643"/>
        <w:jc w:val="both"/>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第十二条</w:t>
      </w:r>
      <w:r>
        <w:rPr>
          <w:rFonts w:ascii="仿宋_GB2312" w:eastAsia="仿宋_GB2312" w:hAnsi="Arial" w:cs="Arial" w:hint="eastAsia"/>
          <w:color w:val="000000"/>
          <w:sz w:val="32"/>
          <w:szCs w:val="32"/>
        </w:rPr>
        <w:t xml:space="preserve"> 根据本办法第六条规定确需转诊的危急重症患者，医疗机构按照</w:t>
      </w:r>
      <w:r w:rsidRPr="00E63F9C">
        <w:rPr>
          <w:rFonts w:ascii="仿宋_GB2312" w:eastAsia="仿宋_GB2312" w:hAnsi="Arial" w:cs="Arial"/>
          <w:color w:val="000000"/>
          <w:sz w:val="32"/>
          <w:szCs w:val="32"/>
        </w:rPr>
        <w:t>《广东省危急重症患者医学转运工作指引》</w:t>
      </w:r>
      <w:r w:rsidRPr="00E63F9C">
        <w:rPr>
          <w:rFonts w:ascii="仿宋_GB2312" w:eastAsia="仿宋_GB2312" w:hAnsi="Arial" w:cs="Arial"/>
          <w:color w:val="000000"/>
          <w:sz w:val="32"/>
          <w:szCs w:val="32"/>
        </w:rPr>
        <w:t> </w:t>
      </w:r>
      <w:r>
        <w:rPr>
          <w:rFonts w:ascii="仿宋_GB2312" w:eastAsia="仿宋_GB2312" w:hAnsi="Arial" w:cs="Arial" w:hint="eastAsia"/>
          <w:color w:val="000000"/>
          <w:sz w:val="32"/>
          <w:szCs w:val="32"/>
        </w:rPr>
        <w:t>等文件规定进行转诊工作。</w:t>
      </w:r>
    </w:p>
    <w:p w14:paraId="409186D7" w14:textId="77777777" w:rsidR="00D2600C" w:rsidRPr="00ED1BE3" w:rsidRDefault="00D2600C" w:rsidP="00D2600C">
      <w:pPr>
        <w:pStyle w:val="a7"/>
        <w:numPr>
          <w:ilvl w:val="255"/>
          <w:numId w:val="0"/>
        </w:numPr>
        <w:spacing w:before="0" w:beforeAutospacing="0" w:after="0" w:afterAutospacing="0" w:line="560" w:lineRule="exact"/>
        <w:ind w:firstLineChars="200" w:firstLine="643"/>
        <w:jc w:val="both"/>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第十三条</w:t>
      </w:r>
      <w:r>
        <w:rPr>
          <w:rFonts w:ascii="仿宋_GB2312" w:eastAsia="仿宋_GB2312" w:hAnsi="Arial" w:cs="Arial" w:hint="eastAsia"/>
          <w:color w:val="000000"/>
          <w:sz w:val="32"/>
          <w:szCs w:val="32"/>
        </w:rPr>
        <w:t xml:space="preserve"> 根据本办法第六条规定确需转诊的其他患者，首诊医疗机构应充分评估患者潜在风险，经首诊医疗机构与</w:t>
      </w:r>
      <w:r>
        <w:rPr>
          <w:rFonts w:ascii="仿宋_GB2312" w:eastAsia="仿宋_GB2312" w:hAnsi="Arial" w:cs="Arial" w:hint="eastAsia"/>
          <w:color w:val="000000"/>
          <w:sz w:val="32"/>
          <w:szCs w:val="32"/>
        </w:rPr>
        <w:lastRenderedPageBreak/>
        <w:t>患者充分沟通，就转入医疗机构、转运方式等达成一致后进行。</w:t>
      </w:r>
    </w:p>
    <w:p w14:paraId="29EEB801" w14:textId="77777777" w:rsidR="00D2600C" w:rsidRDefault="00D2600C" w:rsidP="00D2600C">
      <w:pPr>
        <w:pStyle w:val="a7"/>
        <w:numPr>
          <w:ilvl w:val="255"/>
          <w:numId w:val="0"/>
        </w:numPr>
        <w:spacing w:before="0" w:beforeAutospacing="0" w:after="0" w:afterAutospacing="0" w:line="560" w:lineRule="exact"/>
        <w:ind w:firstLineChars="200" w:firstLine="643"/>
        <w:jc w:val="both"/>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第十四条</w:t>
      </w:r>
      <w:r>
        <w:rPr>
          <w:rFonts w:ascii="仿宋_GB2312" w:eastAsia="仿宋_GB2312" w:hAnsi="Arial" w:cs="Arial" w:hint="eastAsia"/>
          <w:color w:val="000000"/>
          <w:sz w:val="32"/>
          <w:szCs w:val="32"/>
        </w:rPr>
        <w:t xml:space="preserve"> 根据本办法第七条规定可以转诊的患者，医疗机构按照下列规定进行转诊工作：</w:t>
      </w:r>
    </w:p>
    <w:p w14:paraId="4615C64B" w14:textId="77777777" w:rsidR="00D2600C" w:rsidRDefault="00D2600C" w:rsidP="00D2600C">
      <w:pPr>
        <w:pStyle w:val="a7"/>
        <w:numPr>
          <w:ilvl w:val="255"/>
          <w:numId w:val="0"/>
        </w:numPr>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（一）与拟转入医疗机构就患者病情、生命体征、药品条件、转运情况、后续治疗方案等充分沟通，达成一致意见。</w:t>
      </w:r>
    </w:p>
    <w:p w14:paraId="4C651379" w14:textId="77777777" w:rsidR="00D2600C" w:rsidRDefault="00D2600C" w:rsidP="00D2600C">
      <w:pPr>
        <w:pStyle w:val="a7"/>
        <w:numPr>
          <w:ilvl w:val="255"/>
          <w:numId w:val="0"/>
        </w:numPr>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（二）患者需要继续住院治疗、行动不便或者卧床的，转出医疗机构应当安排院内救护车转运患者。</w:t>
      </w:r>
    </w:p>
    <w:p w14:paraId="5CA8D5D5" w14:textId="77777777" w:rsidR="00D2600C" w:rsidRDefault="00D2600C" w:rsidP="00D2600C">
      <w:pPr>
        <w:pStyle w:val="a7"/>
        <w:numPr>
          <w:ilvl w:val="255"/>
          <w:numId w:val="0"/>
        </w:numPr>
        <w:spacing w:before="0" w:beforeAutospacing="0" w:after="0" w:afterAutospacing="0"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 xml:space="preserve">第十五条 </w:t>
      </w:r>
      <w:r>
        <w:rPr>
          <w:rFonts w:ascii="仿宋_GB2312" w:eastAsia="仿宋_GB2312" w:hAnsi="仿宋_GB2312" w:cs="仿宋_GB2312" w:hint="eastAsia"/>
          <w:kern w:val="2"/>
          <w:sz w:val="32"/>
          <w:szCs w:val="32"/>
        </w:rPr>
        <w:t>患者或者其近亲属不同意转出医疗机构的转诊安排或者主动要求转诊并自行联系转至其他医疗机构治疗的，现</w:t>
      </w:r>
      <w:proofErr w:type="gramStart"/>
      <w:r>
        <w:rPr>
          <w:rFonts w:ascii="仿宋_GB2312" w:eastAsia="仿宋_GB2312" w:hAnsi="仿宋_GB2312" w:cs="仿宋_GB2312" w:hint="eastAsia"/>
          <w:kern w:val="2"/>
          <w:sz w:val="32"/>
          <w:szCs w:val="32"/>
        </w:rPr>
        <w:t>诊医疗</w:t>
      </w:r>
      <w:proofErr w:type="gramEnd"/>
      <w:r>
        <w:rPr>
          <w:rFonts w:ascii="仿宋_GB2312" w:eastAsia="仿宋_GB2312" w:hAnsi="仿宋_GB2312" w:cs="仿宋_GB2312" w:hint="eastAsia"/>
          <w:kern w:val="2"/>
          <w:sz w:val="32"/>
          <w:szCs w:val="32"/>
        </w:rPr>
        <w:t>机构不得拒绝，并应当予以配合。现</w:t>
      </w:r>
      <w:proofErr w:type="gramStart"/>
      <w:r>
        <w:rPr>
          <w:rFonts w:ascii="仿宋_GB2312" w:eastAsia="仿宋_GB2312" w:hAnsi="仿宋_GB2312" w:cs="仿宋_GB2312" w:hint="eastAsia"/>
          <w:kern w:val="2"/>
          <w:sz w:val="32"/>
          <w:szCs w:val="32"/>
        </w:rPr>
        <w:t>诊医疗</w:t>
      </w:r>
      <w:proofErr w:type="gramEnd"/>
      <w:r>
        <w:rPr>
          <w:rFonts w:ascii="仿宋_GB2312" w:eastAsia="仿宋_GB2312" w:hAnsi="仿宋_GB2312" w:cs="仿宋_GB2312" w:hint="eastAsia"/>
          <w:kern w:val="2"/>
          <w:sz w:val="32"/>
          <w:szCs w:val="32"/>
        </w:rPr>
        <w:t>机构应当告知患者或者其近亲属可能存在的风险，并予以签字确认。但是，有下列情形之一的，现</w:t>
      </w:r>
      <w:proofErr w:type="gramStart"/>
      <w:r>
        <w:rPr>
          <w:rFonts w:ascii="仿宋_GB2312" w:eastAsia="仿宋_GB2312" w:hAnsi="仿宋_GB2312" w:cs="仿宋_GB2312" w:hint="eastAsia"/>
          <w:kern w:val="2"/>
          <w:sz w:val="32"/>
          <w:szCs w:val="32"/>
        </w:rPr>
        <w:t>诊医疗</w:t>
      </w:r>
      <w:proofErr w:type="gramEnd"/>
      <w:r>
        <w:rPr>
          <w:rFonts w:ascii="仿宋_GB2312" w:eastAsia="仿宋_GB2312" w:hAnsi="仿宋_GB2312" w:cs="仿宋_GB2312" w:hint="eastAsia"/>
          <w:kern w:val="2"/>
          <w:sz w:val="32"/>
          <w:szCs w:val="32"/>
        </w:rPr>
        <w:t>机构可以拒绝：</w:t>
      </w:r>
    </w:p>
    <w:p w14:paraId="54203427" w14:textId="77777777" w:rsidR="00D2600C" w:rsidRDefault="00D2600C" w:rsidP="00D2600C">
      <w:pPr>
        <w:pStyle w:val="a7"/>
        <w:numPr>
          <w:ilvl w:val="255"/>
          <w:numId w:val="0"/>
        </w:numPr>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（一）患者或者其近亲属指定的医疗机构不具备相应的救治条件或者能力；</w:t>
      </w:r>
    </w:p>
    <w:p w14:paraId="727DABF5" w14:textId="77777777" w:rsidR="00D2600C" w:rsidRDefault="00D2600C" w:rsidP="00D2600C">
      <w:pPr>
        <w:pStyle w:val="a7"/>
        <w:numPr>
          <w:ilvl w:val="255"/>
          <w:numId w:val="0"/>
        </w:numPr>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（二）转诊委员会评估后认为患者病情不宜转诊的；</w:t>
      </w:r>
    </w:p>
    <w:p w14:paraId="5A3AD681" w14:textId="77777777" w:rsidR="00D2600C" w:rsidRDefault="00D2600C" w:rsidP="00D2600C">
      <w:pPr>
        <w:pStyle w:val="a7"/>
        <w:numPr>
          <w:ilvl w:val="255"/>
          <w:numId w:val="0"/>
        </w:numPr>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（三）应对突发事件由政府统一指定医疗机构的；</w:t>
      </w:r>
    </w:p>
    <w:p w14:paraId="1E44007C" w14:textId="77777777" w:rsidR="00D2600C" w:rsidRDefault="00D2600C" w:rsidP="00D2600C">
      <w:pPr>
        <w:pStyle w:val="a7"/>
        <w:numPr>
          <w:ilvl w:val="255"/>
          <w:numId w:val="0"/>
        </w:numPr>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（四）依法需要对患者实施隔离治疗的；</w:t>
      </w:r>
    </w:p>
    <w:p w14:paraId="3F1DBC9F" w14:textId="50631311" w:rsidR="00963B6E" w:rsidRPr="00D2600C" w:rsidRDefault="00D2600C" w:rsidP="00D2600C">
      <w:pPr>
        <w:pStyle w:val="a7"/>
        <w:numPr>
          <w:ilvl w:val="255"/>
          <w:numId w:val="0"/>
        </w:numPr>
        <w:spacing w:before="0" w:beforeAutospacing="0" w:after="0" w:afterAutospacing="0" w:line="560"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（五）卫生健康行政部门</w:t>
      </w:r>
      <w:bookmarkStart w:id="0" w:name="_GoBack"/>
      <w:bookmarkEnd w:id="0"/>
      <w:r>
        <w:rPr>
          <w:rFonts w:ascii="仿宋_GB2312" w:eastAsia="仿宋_GB2312" w:hAnsi="仿宋_GB2312" w:cs="仿宋_GB2312" w:hint="eastAsia"/>
          <w:kern w:val="2"/>
          <w:sz w:val="32"/>
          <w:szCs w:val="32"/>
        </w:rPr>
        <w:t>规定的其他情形。</w:t>
      </w:r>
    </w:p>
    <w:sectPr w:rsidR="00963B6E" w:rsidRPr="00D260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5420B" w14:textId="77777777" w:rsidR="00DB2C67" w:rsidRDefault="00DB2C67" w:rsidP="00700B26">
      <w:r>
        <w:separator/>
      </w:r>
    </w:p>
  </w:endnote>
  <w:endnote w:type="continuationSeparator" w:id="0">
    <w:p w14:paraId="4ED1328A" w14:textId="77777777" w:rsidR="00DB2C67" w:rsidRDefault="00DB2C67" w:rsidP="0070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CCFA6" w14:textId="77777777" w:rsidR="00DB2C67" w:rsidRDefault="00DB2C67" w:rsidP="00700B26">
      <w:r>
        <w:separator/>
      </w:r>
    </w:p>
  </w:footnote>
  <w:footnote w:type="continuationSeparator" w:id="0">
    <w:p w14:paraId="05104C9F" w14:textId="77777777" w:rsidR="00DB2C67" w:rsidRDefault="00DB2C67" w:rsidP="00700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1D7"/>
    <w:rsid w:val="00700B26"/>
    <w:rsid w:val="007311D7"/>
    <w:rsid w:val="00963B6E"/>
    <w:rsid w:val="00CF45B0"/>
    <w:rsid w:val="00D2600C"/>
    <w:rsid w:val="00DB2C67"/>
    <w:rsid w:val="00EA1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25213"/>
  <w15:chartTrackingRefBased/>
  <w15:docId w15:val="{E296487D-1571-48F6-9D93-B1A420FA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B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0B26"/>
    <w:rPr>
      <w:sz w:val="18"/>
      <w:szCs w:val="18"/>
    </w:rPr>
  </w:style>
  <w:style w:type="paragraph" w:styleId="a5">
    <w:name w:val="footer"/>
    <w:basedOn w:val="a"/>
    <w:link w:val="a6"/>
    <w:uiPriority w:val="99"/>
    <w:unhideWhenUsed/>
    <w:rsid w:val="00700B26"/>
    <w:pPr>
      <w:tabs>
        <w:tab w:val="center" w:pos="4153"/>
        <w:tab w:val="right" w:pos="8306"/>
      </w:tabs>
      <w:snapToGrid w:val="0"/>
      <w:jc w:val="left"/>
    </w:pPr>
    <w:rPr>
      <w:sz w:val="18"/>
      <w:szCs w:val="18"/>
    </w:rPr>
  </w:style>
  <w:style w:type="character" w:customStyle="1" w:styleId="a6">
    <w:name w:val="页脚 字符"/>
    <w:basedOn w:val="a0"/>
    <w:link w:val="a5"/>
    <w:uiPriority w:val="99"/>
    <w:rsid w:val="00700B26"/>
    <w:rPr>
      <w:sz w:val="18"/>
      <w:szCs w:val="18"/>
    </w:rPr>
  </w:style>
  <w:style w:type="paragraph" w:styleId="a7">
    <w:name w:val="Normal (Web)"/>
    <w:basedOn w:val="a"/>
    <w:qFormat/>
    <w:rsid w:val="00963B6E"/>
    <w:pPr>
      <w:widowControl/>
      <w:spacing w:before="100" w:beforeAutospacing="1" w:after="100" w:afterAutospacing="1"/>
      <w:jc w:val="left"/>
    </w:pPr>
    <w:rPr>
      <w:rFonts w:ascii="宋体" w:eastAsia="宋体" w:hAnsi="宋体" w:cs="宋体"/>
      <w:kern w:val="0"/>
      <w:sz w:val="24"/>
      <w:szCs w:val="24"/>
    </w:rPr>
  </w:style>
  <w:style w:type="character" w:styleId="a8">
    <w:name w:val="Strong"/>
    <w:qFormat/>
    <w:rsid w:val="00963B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闫卫鑫</dc:creator>
  <cp:keywords/>
  <dc:description/>
  <cp:lastModifiedBy>闫卫鑫</cp:lastModifiedBy>
  <cp:revision>5</cp:revision>
  <dcterms:created xsi:type="dcterms:W3CDTF">2019-09-17T08:31:00Z</dcterms:created>
  <dcterms:modified xsi:type="dcterms:W3CDTF">2019-09-17T08:37:00Z</dcterms:modified>
</cp:coreProperties>
</file>