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附件3:</w:t>
      </w:r>
    </w:p>
    <w:p>
      <w:pPr>
        <w:spacing w:line="60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方正小标宋简体" w:eastAsia="仿宋_GB2312" w:cs="方正小标宋简体"/>
          <w:sz w:val="32"/>
          <w:szCs w:val="32"/>
        </w:rPr>
        <w:t>2019年第四期深圳市</w:t>
      </w:r>
      <w:r>
        <w:rPr>
          <w:rFonts w:hint="eastAsia" w:ascii="仿宋_GB2312" w:eastAsia="仿宋_GB2312"/>
          <w:sz w:val="32"/>
          <w:szCs w:val="32"/>
        </w:rPr>
        <w:t>全科住院医师规范化培训师资培训班（省级）报名表</w:t>
      </w:r>
    </w:p>
    <w:bookmarkEnd w:id="0"/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 xml:space="preserve">  联系人：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772"/>
        <w:gridCol w:w="832"/>
        <w:gridCol w:w="791"/>
        <w:gridCol w:w="791"/>
        <w:gridCol w:w="913"/>
        <w:gridCol w:w="1023"/>
        <w:gridCol w:w="90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社康中心</w:t>
            </w:r>
          </w:p>
        </w:tc>
        <w:tc>
          <w:tcPr>
            <w:tcW w:w="7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是否全科执业范围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毕业院校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社康工作年限</w:t>
            </w:r>
          </w:p>
        </w:tc>
        <w:tc>
          <w:tcPr>
            <w:tcW w:w="10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身份证号码*</w:t>
            </w:r>
          </w:p>
        </w:tc>
        <w:tc>
          <w:tcPr>
            <w:tcW w:w="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学分卡号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23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注：师资培训合格证需要提供身份证号码；此表以Excel表形式填报。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9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2019-10-23T02:04:11Z</dcterms:created>
  <dc:creator>yckj</dc:creator>
  <cp:lastModifiedBy>弹道无痕（刘洋）</cp:lastModifiedBy>
  <dcterms:modified xsi:type="dcterms:W3CDTF">2019-10-23T02:04:26Z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