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45" w:rsidRDefault="00045245" w:rsidP="00045245">
      <w:pP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p>
    <w:p w:rsidR="00045245" w:rsidRDefault="00045245" w:rsidP="00045245">
      <w:pPr>
        <w:autoSpaceDN w:val="0"/>
        <w:spacing w:line="560" w:lineRule="exact"/>
        <w:jc w:val="center"/>
        <w:rPr>
          <w:rFonts w:ascii="方正小标宋_GBK" w:eastAsia="方正小标宋_GBK" w:hAnsi="方正小标宋_GBK" w:cs="方正小标宋_GBK"/>
          <w:spacing w:val="-3"/>
          <w:sz w:val="44"/>
          <w:szCs w:val="44"/>
        </w:rPr>
      </w:pPr>
      <w:r>
        <w:rPr>
          <w:rFonts w:ascii="方正小标宋_GBK" w:eastAsia="方正小标宋_GBK" w:hAnsi="方正小标宋_GBK" w:cs="方正小标宋_GBK" w:hint="eastAsia"/>
          <w:spacing w:val="-3"/>
          <w:sz w:val="44"/>
          <w:szCs w:val="44"/>
        </w:rPr>
        <w:t>《深圳市医疗机构执业登记办法》（2019年征求意见稿）</w:t>
      </w:r>
    </w:p>
    <w:p w:rsidR="00045245" w:rsidRDefault="00045245" w:rsidP="00045245">
      <w:pPr>
        <w:autoSpaceDN w:val="0"/>
        <w:spacing w:line="560" w:lineRule="exact"/>
        <w:jc w:val="center"/>
        <w:rPr>
          <w:rFonts w:ascii="方正小标宋_GBK" w:eastAsia="方正小标宋_GBK" w:hAnsi="方正小标宋_GBK" w:cs="方正小标宋_GBK"/>
          <w:spacing w:val="-3"/>
          <w:sz w:val="44"/>
          <w:szCs w:val="44"/>
        </w:rPr>
      </w:pPr>
      <w:bookmarkStart w:id="0" w:name="_GoBack"/>
      <w:bookmarkEnd w:id="0"/>
      <w:r>
        <w:rPr>
          <w:rFonts w:ascii="方正小标宋_GBK" w:eastAsia="方正小标宋_GBK" w:hAnsi="方正小标宋_GBK" w:cs="方正小标宋_GBK" w:hint="eastAsia"/>
          <w:spacing w:val="-3"/>
          <w:sz w:val="44"/>
          <w:szCs w:val="44"/>
        </w:rPr>
        <w:t>社会公众意见采纳情况表</w:t>
      </w:r>
    </w:p>
    <w:p w:rsidR="00045245" w:rsidRDefault="00045245" w:rsidP="00045245">
      <w:pPr>
        <w:autoSpaceDN w:val="0"/>
        <w:spacing w:line="560" w:lineRule="exact"/>
        <w:jc w:val="center"/>
        <w:rPr>
          <w:rFonts w:ascii="方正小标宋_GBK" w:eastAsia="方正小标宋_GBK" w:hAnsi="方正小标宋_GBK" w:cs="方正小标宋_GBK"/>
          <w:spacing w:val="-3"/>
          <w:sz w:val="44"/>
          <w:szCs w:val="44"/>
        </w:rPr>
      </w:pPr>
    </w:p>
    <w:tbl>
      <w:tblPr>
        <w:tblStyle w:val="a3"/>
        <w:tblW w:w="15300" w:type="dxa"/>
        <w:tblInd w:w="-518" w:type="dxa"/>
        <w:tblLayout w:type="fixed"/>
        <w:tblLook w:val="04A0" w:firstRow="1" w:lastRow="0" w:firstColumn="1" w:lastColumn="0" w:noHBand="0" w:noVBand="1"/>
      </w:tblPr>
      <w:tblGrid>
        <w:gridCol w:w="945"/>
        <w:gridCol w:w="1200"/>
        <w:gridCol w:w="8895"/>
        <w:gridCol w:w="1777"/>
        <w:gridCol w:w="2483"/>
      </w:tblGrid>
      <w:tr w:rsidR="00045245" w:rsidTr="006E4358">
        <w:tc>
          <w:tcPr>
            <w:tcW w:w="945" w:type="dxa"/>
          </w:tcPr>
          <w:p w:rsidR="00045245" w:rsidRDefault="00045245" w:rsidP="006E4358">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序号</w:t>
            </w:r>
          </w:p>
        </w:tc>
        <w:tc>
          <w:tcPr>
            <w:tcW w:w="1200" w:type="dxa"/>
          </w:tcPr>
          <w:p w:rsidR="00045245" w:rsidRDefault="00045245" w:rsidP="006E4358">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市民</w:t>
            </w:r>
          </w:p>
        </w:tc>
        <w:tc>
          <w:tcPr>
            <w:tcW w:w="8895" w:type="dxa"/>
          </w:tcPr>
          <w:p w:rsidR="00045245" w:rsidRDefault="00045245" w:rsidP="006E4358">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反馈意见</w:t>
            </w:r>
          </w:p>
        </w:tc>
        <w:tc>
          <w:tcPr>
            <w:tcW w:w="1777" w:type="dxa"/>
          </w:tcPr>
          <w:p w:rsidR="00045245" w:rsidRDefault="00045245" w:rsidP="006E4358">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采纳情况</w:t>
            </w:r>
          </w:p>
        </w:tc>
        <w:tc>
          <w:tcPr>
            <w:tcW w:w="2483" w:type="dxa"/>
          </w:tcPr>
          <w:p w:rsidR="00045245" w:rsidRDefault="00045245" w:rsidP="006E4358">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有关说明</w:t>
            </w:r>
          </w:p>
        </w:tc>
      </w:tr>
      <w:tr w:rsidR="00045245" w:rsidTr="006E4358">
        <w:tc>
          <w:tcPr>
            <w:tcW w:w="945" w:type="dxa"/>
            <w:vAlign w:val="center"/>
          </w:tcPr>
          <w:p w:rsidR="00045245" w:rsidRDefault="00045245" w:rsidP="006E4358">
            <w:pPr>
              <w:autoSpaceDN w:val="0"/>
              <w:spacing w:line="560" w:lineRule="exact"/>
              <w:jc w:val="center"/>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1</w:t>
            </w:r>
          </w:p>
        </w:tc>
        <w:tc>
          <w:tcPr>
            <w:tcW w:w="1200" w:type="dxa"/>
            <w:vAlign w:val="center"/>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32"/>
                <w:szCs w:val="32"/>
              </w:rPr>
              <w:t>杨先生</w:t>
            </w:r>
          </w:p>
        </w:tc>
        <w:tc>
          <w:tcPr>
            <w:tcW w:w="8895" w:type="dxa"/>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28"/>
                <w:szCs w:val="28"/>
              </w:rPr>
              <w:t>对第二章第九条第七项提出建议：配备人员针对诊所，是否能够将申请机构如果由一名主治医师以上人员以多点备案方式在医疗机构的，再配备一名执业医师第一执业点注册在本机构就等同于一名满五年执业医师第一执业点需注册在本机构的条件？另外还需增加一条限制，就是以多点备案作为机构配备人员，只能申请除主要执业点以外的一个医疗机构备案。不得再申请第二个多点备案。这样可以充分调动体制内医务人员以团队模式兼职开办诊所或者工作室，又能够真正提高社会办医的医疗技术水平，迎合了国家关于促进诊所健康发展的人员配备意见。</w:t>
            </w:r>
          </w:p>
        </w:tc>
        <w:tc>
          <w:tcPr>
            <w:tcW w:w="1777" w:type="dxa"/>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32"/>
                <w:szCs w:val="32"/>
              </w:rPr>
              <w:t>拟不采纳</w:t>
            </w:r>
          </w:p>
        </w:tc>
        <w:tc>
          <w:tcPr>
            <w:tcW w:w="2483" w:type="dxa"/>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32"/>
                <w:szCs w:val="32"/>
              </w:rPr>
              <w:t>后续我委将适时修订《深圳市诊所设置标准（试行）》。</w:t>
            </w:r>
          </w:p>
        </w:tc>
      </w:tr>
      <w:tr w:rsidR="00045245" w:rsidTr="006E4358">
        <w:tc>
          <w:tcPr>
            <w:tcW w:w="945" w:type="dxa"/>
            <w:vAlign w:val="center"/>
          </w:tcPr>
          <w:p w:rsidR="00045245" w:rsidRDefault="00045245" w:rsidP="006E4358">
            <w:pPr>
              <w:autoSpaceDN w:val="0"/>
              <w:spacing w:line="560" w:lineRule="exact"/>
              <w:jc w:val="center"/>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lastRenderedPageBreak/>
              <w:t>2</w:t>
            </w:r>
          </w:p>
        </w:tc>
        <w:tc>
          <w:tcPr>
            <w:tcW w:w="1200" w:type="dxa"/>
            <w:vMerge w:val="restart"/>
            <w:vAlign w:val="center"/>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32"/>
                <w:szCs w:val="32"/>
              </w:rPr>
              <w:t>黄先生</w:t>
            </w:r>
          </w:p>
        </w:tc>
        <w:tc>
          <w:tcPr>
            <w:tcW w:w="8895" w:type="dxa"/>
          </w:tcPr>
          <w:p w:rsidR="00045245" w:rsidRPr="0032325A" w:rsidRDefault="00045245" w:rsidP="006E4358">
            <w:pPr>
              <w:rPr>
                <w:rFonts w:ascii="仿宋_GB2312" w:eastAsia="仿宋_GB2312" w:hAnsi="仿宋_GB2312" w:cs="仿宋_GB2312"/>
                <w:sz w:val="32"/>
                <w:szCs w:val="32"/>
              </w:rPr>
            </w:pPr>
            <w:r w:rsidRPr="0032325A">
              <w:rPr>
                <w:rFonts w:ascii="仿宋_GB2312" w:eastAsia="仿宋_GB2312" w:hAnsi="仿宋_GB2312" w:cs="仿宋_GB2312" w:hint="eastAsia"/>
                <w:sz w:val="28"/>
                <w:szCs w:val="28"/>
              </w:rPr>
              <w:t>在第四章校验与延续中，校验期为1年的医疗机构中建议加入未满100张床位专科医院这一项。</w:t>
            </w:r>
          </w:p>
        </w:tc>
        <w:tc>
          <w:tcPr>
            <w:tcW w:w="1777" w:type="dxa"/>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32"/>
                <w:szCs w:val="32"/>
              </w:rPr>
              <w:t>拟采纳</w:t>
            </w:r>
          </w:p>
        </w:tc>
        <w:tc>
          <w:tcPr>
            <w:tcW w:w="2483" w:type="dxa"/>
          </w:tcPr>
          <w:p w:rsidR="00045245" w:rsidRDefault="00045245" w:rsidP="006E4358">
            <w:pPr>
              <w:rPr>
                <w:rFonts w:ascii="仿宋_GB2312" w:eastAsia="仿宋_GB2312" w:hAnsi="仿宋_GB2312" w:cs="仿宋_GB2312"/>
                <w:sz w:val="32"/>
                <w:szCs w:val="32"/>
              </w:rPr>
            </w:pPr>
          </w:p>
        </w:tc>
      </w:tr>
      <w:tr w:rsidR="00045245" w:rsidTr="006E4358">
        <w:tc>
          <w:tcPr>
            <w:tcW w:w="945" w:type="dxa"/>
            <w:vAlign w:val="center"/>
          </w:tcPr>
          <w:p w:rsidR="00045245" w:rsidRDefault="00045245" w:rsidP="006E4358">
            <w:pPr>
              <w:autoSpaceDN w:val="0"/>
              <w:spacing w:line="560" w:lineRule="exact"/>
              <w:jc w:val="center"/>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3</w:t>
            </w:r>
          </w:p>
        </w:tc>
        <w:tc>
          <w:tcPr>
            <w:tcW w:w="1200" w:type="dxa"/>
            <w:vMerge/>
          </w:tcPr>
          <w:p w:rsidR="00045245" w:rsidRDefault="00045245" w:rsidP="006E4358">
            <w:pPr>
              <w:rPr>
                <w:rFonts w:ascii="仿宋_GB2312" w:eastAsia="仿宋_GB2312" w:hAnsi="仿宋_GB2312" w:cs="仿宋_GB2312"/>
                <w:sz w:val="32"/>
                <w:szCs w:val="32"/>
              </w:rPr>
            </w:pPr>
          </w:p>
        </w:tc>
        <w:tc>
          <w:tcPr>
            <w:tcW w:w="8895" w:type="dxa"/>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28"/>
                <w:szCs w:val="28"/>
              </w:rPr>
              <w:t>第三十八条的部分规定建议修改为“</w:t>
            </w:r>
            <w:r w:rsidRPr="0032325A">
              <w:rPr>
                <w:rFonts w:ascii="仿宋_GB2312" w:eastAsia="仿宋_GB2312" w:hAnsi="仿宋_GB2312" w:cs="仿宋_GB2312" w:hint="eastAsia"/>
                <w:sz w:val="28"/>
                <w:szCs w:val="28"/>
              </w:rPr>
              <w:t>对已移送公安部门核查的涉恶医疗机构，若被卫生健康行政部门吊销或注销《医疗机构执业许可证》的，包括原涉恶商事主体中任一个体成员的商事主体五年内不得再次申请执业登记”。</w:t>
            </w:r>
          </w:p>
        </w:tc>
        <w:tc>
          <w:tcPr>
            <w:tcW w:w="1777" w:type="dxa"/>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32"/>
                <w:szCs w:val="32"/>
              </w:rPr>
              <w:t>拟采纳</w:t>
            </w:r>
          </w:p>
        </w:tc>
        <w:tc>
          <w:tcPr>
            <w:tcW w:w="2483" w:type="dxa"/>
          </w:tcPr>
          <w:p w:rsidR="00045245" w:rsidRDefault="00045245" w:rsidP="006E4358">
            <w:pPr>
              <w:rPr>
                <w:rFonts w:ascii="仿宋_GB2312" w:eastAsia="仿宋_GB2312" w:hAnsi="仿宋_GB2312" w:cs="仿宋_GB2312"/>
                <w:sz w:val="32"/>
                <w:szCs w:val="32"/>
              </w:rPr>
            </w:pPr>
          </w:p>
        </w:tc>
      </w:tr>
      <w:tr w:rsidR="00045245" w:rsidTr="006E4358">
        <w:tc>
          <w:tcPr>
            <w:tcW w:w="945" w:type="dxa"/>
            <w:vAlign w:val="center"/>
          </w:tcPr>
          <w:p w:rsidR="00045245" w:rsidRDefault="00045245" w:rsidP="006E4358">
            <w:pPr>
              <w:autoSpaceDN w:val="0"/>
              <w:spacing w:line="560" w:lineRule="exact"/>
              <w:jc w:val="center"/>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4</w:t>
            </w:r>
          </w:p>
        </w:tc>
        <w:tc>
          <w:tcPr>
            <w:tcW w:w="1200" w:type="dxa"/>
            <w:vMerge/>
          </w:tcPr>
          <w:p w:rsidR="00045245" w:rsidRDefault="00045245" w:rsidP="006E4358">
            <w:pPr>
              <w:rPr>
                <w:rFonts w:ascii="仿宋_GB2312" w:eastAsia="仿宋_GB2312" w:hAnsi="仿宋_GB2312" w:cs="仿宋_GB2312"/>
                <w:sz w:val="32"/>
                <w:szCs w:val="32"/>
              </w:rPr>
            </w:pPr>
          </w:p>
        </w:tc>
        <w:tc>
          <w:tcPr>
            <w:tcW w:w="8895" w:type="dxa"/>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28"/>
                <w:szCs w:val="28"/>
              </w:rPr>
              <w:t>第三十八条的部分规定建议修改为“同时该涉恶医疗机构《医疗机构执业许可证》上登载的执业地址，五年内不得再次申请</w:t>
            </w:r>
            <w:r w:rsidRPr="0032325A">
              <w:rPr>
                <w:rFonts w:ascii="仿宋_GB2312" w:eastAsia="仿宋_GB2312" w:hAnsi="仿宋_GB2312" w:cs="仿宋_GB2312" w:hint="eastAsia"/>
                <w:sz w:val="28"/>
                <w:szCs w:val="28"/>
              </w:rPr>
              <w:t>为同类或相近</w:t>
            </w:r>
            <w:r>
              <w:rPr>
                <w:rFonts w:ascii="仿宋_GB2312" w:eastAsia="仿宋_GB2312" w:hAnsi="仿宋_GB2312" w:cs="仿宋_GB2312" w:hint="eastAsia"/>
                <w:sz w:val="28"/>
                <w:szCs w:val="28"/>
              </w:rPr>
              <w:t>医疗用途”。</w:t>
            </w:r>
          </w:p>
        </w:tc>
        <w:tc>
          <w:tcPr>
            <w:tcW w:w="1777" w:type="dxa"/>
          </w:tcPr>
          <w:p w:rsidR="00045245" w:rsidRDefault="00045245" w:rsidP="006E4358">
            <w:pPr>
              <w:rPr>
                <w:rFonts w:ascii="仿宋_GB2312" w:eastAsia="仿宋_GB2312" w:hAnsi="仿宋_GB2312" w:cs="仿宋_GB2312"/>
                <w:sz w:val="32"/>
                <w:szCs w:val="32"/>
              </w:rPr>
            </w:pPr>
            <w:r>
              <w:rPr>
                <w:rFonts w:ascii="仿宋_GB2312" w:eastAsia="仿宋_GB2312" w:hAnsi="仿宋_GB2312" w:cs="仿宋_GB2312" w:hint="eastAsia"/>
                <w:sz w:val="32"/>
                <w:szCs w:val="32"/>
              </w:rPr>
              <w:t>拟不采纳</w:t>
            </w:r>
          </w:p>
        </w:tc>
        <w:tc>
          <w:tcPr>
            <w:tcW w:w="2483" w:type="dxa"/>
          </w:tcPr>
          <w:p w:rsidR="00045245" w:rsidRPr="00807854" w:rsidRDefault="00045245" w:rsidP="006E4358">
            <w:pPr>
              <w:rPr>
                <w:rFonts w:ascii="仿宋_GB2312" w:eastAsia="仿宋_GB2312" w:hAnsi="仿宋_GB2312" w:cs="仿宋_GB2312"/>
                <w:sz w:val="28"/>
                <w:szCs w:val="28"/>
              </w:rPr>
            </w:pPr>
            <w:r>
              <w:rPr>
                <w:rFonts w:ascii="仿宋_GB2312" w:eastAsia="仿宋_GB2312" w:hAnsi="仿宋_GB2312" w:cs="仿宋_GB2312" w:hint="eastAsia"/>
                <w:sz w:val="28"/>
                <w:szCs w:val="28"/>
              </w:rPr>
              <w:t>医疗美容、口腔、泌尿外科和妇科等虽然都为非同类或相近医疗机构，但是都是社会办医投资的热点领域，也是打击医疗欺诈等违法违规行为发生的重点医疗机构类型。因此，为了严格限制医疗机构换马甲等情况的发生，建议严格禁止在原址申办医疗机构。</w:t>
            </w:r>
          </w:p>
        </w:tc>
      </w:tr>
    </w:tbl>
    <w:p w:rsidR="00045245" w:rsidRDefault="00045245" w:rsidP="00045245">
      <w:pPr>
        <w:rPr>
          <w:rFonts w:ascii="仿宋_GB2312" w:eastAsia="仿宋_GB2312" w:hAnsi="仿宋_GB2312" w:cs="仿宋_GB2312"/>
          <w:sz w:val="32"/>
          <w:szCs w:val="32"/>
          <w:shd w:val="clear" w:color="auto" w:fill="FFFFFF"/>
        </w:rPr>
      </w:pPr>
    </w:p>
    <w:p w:rsidR="00A42890" w:rsidRPr="00045245" w:rsidRDefault="00A42890">
      <w:pPr>
        <w:rPr>
          <w:rFonts w:hint="eastAsia"/>
        </w:rPr>
      </w:pPr>
    </w:p>
    <w:sectPr w:rsidR="00A42890" w:rsidRPr="0004524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5D"/>
    <w:rsid w:val="00045245"/>
    <w:rsid w:val="004A045D"/>
    <w:rsid w:val="00A42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D317-5610-479A-B71B-F6204308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24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524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2</cp:revision>
  <dcterms:created xsi:type="dcterms:W3CDTF">2019-11-11T06:27:00Z</dcterms:created>
  <dcterms:modified xsi:type="dcterms:W3CDTF">2019-11-11T06:27:00Z</dcterms:modified>
</cp:coreProperties>
</file>