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391" w:tblpY="3255"/>
        <w:tblOverlap w:val="never"/>
        <w:tblW w:w="9299" w:type="dxa"/>
        <w:tblInd w:w="0" w:type="dxa"/>
        <w:tblLayout w:type="fixed"/>
        <w:tblCellMar>
          <w:top w:w="0" w:type="dxa"/>
          <w:left w:w="0" w:type="dxa"/>
          <w:bottom w:w="0" w:type="dxa"/>
          <w:right w:w="0" w:type="dxa"/>
        </w:tblCellMar>
      </w:tblPr>
      <w:tblGrid>
        <w:gridCol w:w="1037"/>
        <w:gridCol w:w="4203"/>
        <w:gridCol w:w="720"/>
        <w:gridCol w:w="3339"/>
      </w:tblGrid>
      <w:tr>
        <w:tblPrEx>
          <w:tblLayout w:type="fixed"/>
          <w:tblCellMar>
            <w:top w:w="0" w:type="dxa"/>
            <w:left w:w="0" w:type="dxa"/>
            <w:bottom w:w="0" w:type="dxa"/>
            <w:right w:w="0" w:type="dxa"/>
          </w:tblCellMar>
        </w:tblPrEx>
        <w:tc>
          <w:tcPr>
            <w:tcW w:w="1037" w:type="dxa"/>
            <w:tcBorders>
              <w:top w:val="single" w:color="000000" w:sz="4" w:space="0"/>
              <w:left w:val="single" w:color="000000" w:sz="4" w:space="0"/>
              <w:bottom w:val="single" w:color="000000" w:sz="4" w:space="0"/>
              <w:right w:val="nil"/>
            </w:tcBorders>
            <w:textDirection w:val="lrTb"/>
            <w:vAlign w:val="center"/>
          </w:tcPr>
          <w:p>
            <w:pPr>
              <w:jc w:val="center"/>
              <w:rPr>
                <w:rFonts w:hint="eastAsia" w:ascii="宋体" w:hAnsi="宋体"/>
                <w:b/>
                <w:color w:val="000000"/>
                <w:sz w:val="24"/>
                <w:lang w:val="en-US" w:eastAsia="zh-CN"/>
              </w:rPr>
            </w:pPr>
            <w:r>
              <w:rPr>
                <w:rFonts w:hint="eastAsia" w:ascii="宋体" w:hAnsi="宋体"/>
                <w:b/>
                <w:color w:val="000000"/>
                <w:sz w:val="24"/>
                <w:lang w:eastAsia="zh-CN"/>
              </w:rPr>
              <w:t>单位</w:t>
            </w:r>
            <w:r>
              <w:rPr>
                <w:rFonts w:hint="eastAsia" w:ascii="宋体" w:hAnsi="宋体"/>
                <w:b/>
                <w:color w:val="000000"/>
                <w:sz w:val="24"/>
                <w:lang w:val="en-US" w:eastAsia="zh-CN"/>
              </w:rPr>
              <w:t>/</w:t>
            </w:r>
          </w:p>
          <w:p>
            <w:pPr>
              <w:jc w:val="center"/>
              <w:rPr>
                <w:rFonts w:hint="eastAsia" w:eastAsia="宋体"/>
                <w:sz w:val="24"/>
                <w:lang w:eastAsia="zh-CN"/>
              </w:rPr>
            </w:pPr>
            <w:r>
              <w:rPr>
                <w:rFonts w:hint="eastAsia" w:ascii="宋体" w:hAnsi="宋体"/>
                <w:b/>
                <w:color w:val="000000"/>
                <w:sz w:val="24"/>
                <w:lang w:val="en-US" w:eastAsia="zh-CN"/>
              </w:rPr>
              <w:t>个人</w:t>
            </w:r>
          </w:p>
        </w:tc>
        <w:tc>
          <w:tcPr>
            <w:tcW w:w="4203" w:type="dxa"/>
            <w:tcBorders>
              <w:top w:val="single" w:color="000000" w:sz="4" w:space="0"/>
              <w:left w:val="single" w:color="000000" w:sz="4" w:space="0"/>
              <w:bottom w:val="single" w:color="000000" w:sz="4" w:space="0"/>
              <w:right w:val="nil"/>
            </w:tcBorders>
            <w:textDirection w:val="lrTb"/>
            <w:vAlign w:val="center"/>
          </w:tcPr>
          <w:p>
            <w:pPr>
              <w:jc w:val="center"/>
              <w:rPr>
                <w:rFonts w:hint="eastAsia"/>
                <w:sz w:val="24"/>
              </w:rPr>
            </w:pPr>
            <w:r>
              <w:rPr>
                <w:rFonts w:hint="eastAsia" w:ascii="宋体" w:hAnsi="宋体"/>
                <w:b/>
                <w:color w:val="000000"/>
                <w:sz w:val="24"/>
              </w:rPr>
              <w:t>反馈意见</w:t>
            </w:r>
          </w:p>
        </w:tc>
        <w:tc>
          <w:tcPr>
            <w:tcW w:w="720" w:type="dxa"/>
            <w:tcBorders>
              <w:top w:val="single" w:color="000000" w:sz="4" w:space="0"/>
              <w:left w:val="single" w:color="000000" w:sz="4" w:space="0"/>
              <w:bottom w:val="single" w:color="000000" w:sz="4" w:space="0"/>
              <w:right w:val="nil"/>
            </w:tcBorders>
            <w:textDirection w:val="lrTb"/>
            <w:vAlign w:val="center"/>
          </w:tcPr>
          <w:p>
            <w:pPr>
              <w:jc w:val="center"/>
              <w:rPr>
                <w:rFonts w:hint="eastAsia"/>
                <w:sz w:val="24"/>
                <w:lang w:eastAsia="zh-CN"/>
              </w:rPr>
            </w:pPr>
            <w:r>
              <w:rPr>
                <w:rFonts w:hint="eastAsia" w:ascii="宋体" w:hAnsi="宋体"/>
                <w:b/>
                <w:color w:val="000000"/>
                <w:sz w:val="24"/>
              </w:rPr>
              <w:t>采纳情况</w:t>
            </w:r>
          </w:p>
        </w:tc>
        <w:tc>
          <w:tcPr>
            <w:tcW w:w="33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sz w:val="24"/>
              </w:rPr>
            </w:pPr>
            <w:r>
              <w:rPr>
                <w:rFonts w:hint="eastAsia" w:ascii="宋体" w:hAnsi="宋体"/>
                <w:b/>
                <w:color w:val="000000"/>
                <w:sz w:val="24"/>
              </w:rPr>
              <w:t>说明</w:t>
            </w:r>
          </w:p>
        </w:tc>
      </w:tr>
      <w:tr>
        <w:tblPrEx>
          <w:tblLayout w:type="fixed"/>
          <w:tblCellMar>
            <w:top w:w="0" w:type="dxa"/>
            <w:left w:w="0" w:type="dxa"/>
            <w:bottom w:w="0" w:type="dxa"/>
            <w:right w:w="0" w:type="dxa"/>
          </w:tblCellMar>
        </w:tblPrEx>
        <w:tc>
          <w:tcPr>
            <w:tcW w:w="1037" w:type="dxa"/>
            <w:tcBorders>
              <w:top w:val="single" w:color="000000" w:sz="4" w:space="0"/>
              <w:left w:val="single" w:color="000000" w:sz="4" w:space="0"/>
              <w:bottom w:val="single" w:color="000000" w:sz="4" w:space="0"/>
              <w:right w:val="nil"/>
            </w:tcBorders>
            <w:vAlign w:val="center"/>
          </w:tcPr>
          <w:p>
            <w:pPr>
              <w:jc w:val="center"/>
              <w:rPr>
                <w:rFonts w:hint="eastAsia"/>
                <w:sz w:val="24"/>
              </w:rPr>
            </w:pPr>
            <w:r>
              <w:rPr>
                <w:rFonts w:hint="eastAsia"/>
                <w:sz w:val="24"/>
              </w:rPr>
              <w:t>黄海涛中医针灸诊所</w:t>
            </w:r>
          </w:p>
        </w:tc>
        <w:tc>
          <w:tcPr>
            <w:tcW w:w="4203" w:type="dxa"/>
            <w:tcBorders>
              <w:top w:val="single" w:color="000000" w:sz="4" w:space="0"/>
              <w:left w:val="single" w:color="000000" w:sz="4" w:space="0"/>
              <w:bottom w:val="single" w:color="000000" w:sz="4" w:space="0"/>
              <w:right w:val="nil"/>
            </w:tcBorders>
            <w:vAlign w:val="center"/>
          </w:tcPr>
          <w:p>
            <w:pPr>
              <w:rPr>
                <w:rFonts w:hint="eastAsia"/>
                <w:sz w:val="24"/>
              </w:rPr>
            </w:pPr>
            <w:r>
              <w:rPr>
                <w:rFonts w:hint="eastAsia"/>
                <w:sz w:val="24"/>
                <w:lang w:eastAsia="zh-CN"/>
              </w:rPr>
              <w:t>第十五条：</w:t>
            </w:r>
            <w:r>
              <w:rPr>
                <w:rFonts w:hint="eastAsia"/>
                <w:sz w:val="24"/>
              </w:rPr>
              <w:t>（二）未公示诊疗时间、药品及医疗服务价格等信息；（纯中医诊所，中药饮片每周进货2-3次，由于饮片价格波动比较频繁，如何公示饮片价格，请给予明确说明）</w:t>
            </w:r>
          </w:p>
          <w:p>
            <w:pPr>
              <w:rPr>
                <w:rFonts w:hint="eastAsia"/>
                <w:sz w:val="24"/>
              </w:rPr>
            </w:pPr>
            <w:r>
              <w:rPr>
                <w:rFonts w:hint="eastAsia"/>
                <w:sz w:val="24"/>
              </w:rPr>
              <w:t>（三）未在工作场所设置禁止非医学需要的胎儿性别鉴定和选择性别人工终止妊娠的醒目标志；（纯中医诊所，是否也必须设置这些标志？）</w:t>
            </w:r>
          </w:p>
          <w:p>
            <w:pPr>
              <w:rPr>
                <w:rFonts w:hint="eastAsia"/>
                <w:sz w:val="24"/>
              </w:rPr>
            </w:pPr>
            <w:r>
              <w:rPr>
                <w:rFonts w:hint="eastAsia"/>
                <w:sz w:val="24"/>
              </w:rPr>
              <w:t>（九）未设置医疗服务质量监控部门或者配备专(兼)职人员；（诊所只有一个医师，是否可以由医师本人兼职，还是必须另外请人？）</w:t>
            </w:r>
          </w:p>
        </w:tc>
        <w:tc>
          <w:tcPr>
            <w:tcW w:w="720" w:type="dxa"/>
            <w:tcBorders>
              <w:top w:val="single" w:color="000000" w:sz="4" w:space="0"/>
              <w:left w:val="single" w:color="000000" w:sz="4" w:space="0"/>
              <w:bottom w:val="single" w:color="000000" w:sz="4" w:space="0"/>
              <w:right w:val="nil"/>
            </w:tcBorders>
            <w:vAlign w:val="center"/>
          </w:tcPr>
          <w:p>
            <w:pPr>
              <w:jc w:val="center"/>
              <w:rPr>
                <w:rFonts w:hint="eastAsia"/>
                <w:sz w:val="24"/>
              </w:rPr>
            </w:pPr>
            <w:r>
              <w:rPr>
                <w:rFonts w:hint="eastAsia"/>
                <w:sz w:val="24"/>
                <w:lang w:eastAsia="zh-CN"/>
              </w:rPr>
              <w:t>拟</w:t>
            </w:r>
            <w:r>
              <w:rPr>
                <w:rFonts w:hint="eastAsia"/>
                <w:sz w:val="24"/>
              </w:rPr>
              <w:t>采纳</w:t>
            </w:r>
          </w:p>
        </w:tc>
        <w:tc>
          <w:tcPr>
            <w:tcW w:w="333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sz w:val="24"/>
              </w:rPr>
            </w:pPr>
            <w:r>
              <w:rPr>
                <w:rFonts w:hint="eastAsia"/>
                <w:sz w:val="24"/>
              </w:rPr>
              <w:t>1、《深圳经济特区医疗条例》已对相关公示信息作出规定。</w:t>
            </w:r>
          </w:p>
          <w:p>
            <w:pPr>
              <w:jc w:val="left"/>
              <w:rPr>
                <w:rFonts w:hint="eastAsia"/>
                <w:sz w:val="24"/>
              </w:rPr>
            </w:pPr>
            <w:r>
              <w:rPr>
                <w:rFonts w:hint="eastAsia"/>
                <w:sz w:val="24"/>
              </w:rPr>
              <w:t>2、已修改为“未在有关工作场所设置禁止非医学需要的胎儿性别鉴定和选择性别人工终止妊娠的醒目标志”。</w:t>
            </w:r>
          </w:p>
          <w:p>
            <w:pPr>
              <w:jc w:val="left"/>
              <w:rPr>
                <w:rFonts w:hint="eastAsia"/>
                <w:sz w:val="24"/>
              </w:rPr>
            </w:pPr>
            <w:r>
              <w:rPr>
                <w:rFonts w:hint="eastAsia"/>
                <w:sz w:val="24"/>
              </w:rPr>
              <w:t>3、《医疗质量管理办法》已对相关内容作出规定。</w:t>
            </w:r>
          </w:p>
        </w:tc>
      </w:tr>
      <w:tr>
        <w:tblPrEx>
          <w:tblLayout w:type="fixed"/>
          <w:tblCellMar>
            <w:top w:w="0" w:type="dxa"/>
            <w:left w:w="0" w:type="dxa"/>
            <w:bottom w:w="0" w:type="dxa"/>
            <w:right w:w="0" w:type="dxa"/>
          </w:tblCellMar>
        </w:tblPrEx>
        <w:tc>
          <w:tcPr>
            <w:tcW w:w="1037" w:type="dxa"/>
            <w:tcBorders>
              <w:top w:val="single" w:color="000000" w:sz="4" w:space="0"/>
              <w:left w:val="single" w:color="000000" w:sz="4" w:space="0"/>
              <w:bottom w:val="single" w:color="000000" w:sz="4" w:space="0"/>
              <w:right w:val="nil"/>
            </w:tcBorders>
            <w:vAlign w:val="center"/>
          </w:tcPr>
          <w:p>
            <w:pPr>
              <w:jc w:val="center"/>
              <w:rPr>
                <w:rFonts w:hint="eastAsia" w:eastAsia="宋体"/>
                <w:sz w:val="24"/>
                <w:lang w:eastAsia="zh-CN"/>
              </w:rPr>
            </w:pPr>
            <w:r>
              <w:rPr>
                <w:rFonts w:hint="eastAsia"/>
                <w:sz w:val="24"/>
              </w:rPr>
              <w:t>黄海涛中医针灸诊所</w:t>
            </w:r>
          </w:p>
        </w:tc>
        <w:tc>
          <w:tcPr>
            <w:tcW w:w="4203" w:type="dxa"/>
            <w:tcBorders>
              <w:top w:val="single" w:color="000000" w:sz="4" w:space="0"/>
              <w:left w:val="single" w:color="000000" w:sz="4" w:space="0"/>
              <w:bottom w:val="single" w:color="000000" w:sz="4" w:space="0"/>
              <w:right w:val="nil"/>
            </w:tcBorders>
            <w:vAlign w:val="center"/>
          </w:tcPr>
          <w:p>
            <w:pPr>
              <w:ind w:firstLine="480" w:firstLineChars="200"/>
              <w:rPr>
                <w:sz w:val="24"/>
              </w:rPr>
            </w:pPr>
            <w:r>
              <w:rPr>
                <w:rFonts w:hint="eastAsia"/>
                <w:sz w:val="24"/>
              </w:rPr>
              <w:t>第十七条</w:t>
            </w:r>
            <w:r>
              <w:rPr>
                <w:sz w:val="24"/>
              </w:rPr>
              <w:t xml:space="preserve"> </w:t>
            </w:r>
            <w:r>
              <w:rPr>
                <w:rFonts w:hint="eastAsia"/>
                <w:sz w:val="24"/>
              </w:rPr>
              <w:t>医疗机构有下列情形之一的，一次记</w:t>
            </w:r>
            <w:r>
              <w:rPr>
                <w:sz w:val="24"/>
              </w:rPr>
              <w:t>4</w:t>
            </w:r>
            <w:r>
              <w:rPr>
                <w:rFonts w:hint="eastAsia"/>
                <w:sz w:val="24"/>
              </w:rPr>
              <w:t>分：</w:t>
            </w:r>
          </w:p>
          <w:p>
            <w:pPr>
              <w:ind w:firstLine="360" w:firstLineChars="150"/>
              <w:rPr>
                <w:sz w:val="24"/>
              </w:rPr>
            </w:pPr>
            <w:r>
              <w:rPr>
                <w:rFonts w:hint="eastAsia"/>
                <w:sz w:val="24"/>
              </w:rPr>
              <w:t>（四）医疗机构的牌匾、印章和医疗文书中的机构名称与医疗机构执业许可证载明的机构名称不相同；（因诊所在深圳商业事登记较晚，医疗机构执业许可证上没有地域（黄海涛中医针灸诊所），但商事登记要求有地域（深圳市南山区黄海涛中医针灸诊所，公章是带地域的），我的理解是按医疗机构执业许可证上的名称，对吗？另外，针灸诊所和针灸科诊所是否可以认为名称是一致的？请给予明确说明）</w:t>
            </w:r>
          </w:p>
          <w:p>
            <w:pPr>
              <w:ind w:firstLine="360" w:firstLineChars="150"/>
              <w:rPr>
                <w:rFonts w:hint="eastAsia"/>
                <w:sz w:val="24"/>
              </w:rPr>
            </w:pPr>
            <w:r>
              <w:rPr>
                <w:rFonts w:hint="eastAsia"/>
                <w:sz w:val="24"/>
              </w:rPr>
              <w:t>（五）未及时告知患者病情、诊疗措施、医疗风险以及医疗费用等医疗服务信息；（这种是否要签署知情同意书，否则很容易出现问题，告知了但患者可以不承认，但在诊所让患者签署知情同意书似乎不是那么好操作）</w:t>
            </w:r>
          </w:p>
        </w:tc>
        <w:tc>
          <w:tcPr>
            <w:tcW w:w="720" w:type="dxa"/>
            <w:tcBorders>
              <w:top w:val="single" w:color="000000" w:sz="4" w:space="0"/>
              <w:left w:val="single" w:color="000000" w:sz="4" w:space="0"/>
              <w:bottom w:val="single" w:color="000000" w:sz="4" w:space="0"/>
              <w:right w:val="nil"/>
            </w:tcBorders>
            <w:vAlign w:val="center"/>
          </w:tcPr>
          <w:p>
            <w:pPr>
              <w:jc w:val="center"/>
              <w:rPr>
                <w:rFonts w:hint="eastAsia"/>
                <w:sz w:val="24"/>
              </w:rPr>
            </w:pPr>
            <w:r>
              <w:rPr>
                <w:rFonts w:hint="eastAsia"/>
                <w:sz w:val="24"/>
              </w:rPr>
              <w:t>属</w:t>
            </w:r>
            <w:r>
              <w:rPr>
                <w:rFonts w:hint="eastAsia"/>
                <w:sz w:val="24"/>
                <w:lang w:eastAsia="zh-CN"/>
              </w:rPr>
              <w:t>于</w:t>
            </w:r>
            <w:r>
              <w:rPr>
                <w:rFonts w:hint="eastAsia"/>
                <w:sz w:val="24"/>
              </w:rPr>
              <w:t>咨询</w:t>
            </w:r>
          </w:p>
        </w:tc>
        <w:tc>
          <w:tcPr>
            <w:tcW w:w="333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sz w:val="24"/>
              </w:rPr>
            </w:pPr>
            <w:r>
              <w:rPr>
                <w:rFonts w:hint="eastAsia"/>
                <w:sz w:val="24"/>
              </w:rPr>
              <w:t>1、不属于本办法规范的范畴。</w:t>
            </w:r>
          </w:p>
          <w:p>
            <w:pPr>
              <w:jc w:val="left"/>
              <w:rPr>
                <w:rFonts w:hint="eastAsia"/>
                <w:sz w:val="24"/>
              </w:rPr>
            </w:pPr>
            <w:r>
              <w:rPr>
                <w:rFonts w:hint="eastAsia"/>
                <w:sz w:val="24"/>
              </w:rPr>
              <w:t>2、《深圳经济特区医疗条例》已作出相关规定。</w:t>
            </w:r>
          </w:p>
        </w:tc>
      </w:tr>
    </w:tbl>
    <w:p>
      <w:pPr>
        <w:jc w:val="center"/>
        <w:rPr>
          <w:rFonts w:hint="eastAsia"/>
          <w:b/>
          <w:color w:val="000000"/>
          <w:sz w:val="44"/>
          <w:szCs w:val="44"/>
        </w:rPr>
      </w:pPr>
      <w:r>
        <w:rPr>
          <w:rFonts w:hint="eastAsia"/>
          <w:b/>
          <w:color w:val="000000"/>
          <w:sz w:val="36"/>
          <w:szCs w:val="36"/>
        </w:rPr>
        <w:t>《</w:t>
      </w:r>
      <w:r>
        <w:rPr>
          <w:rFonts w:hint="eastAsia" w:ascii="宋体" w:hAnsi="宋体"/>
          <w:b/>
          <w:sz w:val="36"/>
          <w:szCs w:val="36"/>
        </w:rPr>
        <w:t>深圳市医疗机构和医</w:t>
      </w:r>
      <w:bookmarkStart w:id="0" w:name="_GoBack"/>
      <w:bookmarkEnd w:id="0"/>
      <w:r>
        <w:rPr>
          <w:rFonts w:hint="eastAsia" w:ascii="宋体" w:hAnsi="宋体"/>
          <w:b/>
          <w:sz w:val="36"/>
          <w:szCs w:val="36"/>
        </w:rPr>
        <w:t>师违法执业行为累积记分办法</w:t>
      </w:r>
      <w:r>
        <w:rPr>
          <w:rFonts w:hint="eastAsia"/>
          <w:b/>
          <w:color w:val="000000"/>
          <w:sz w:val="36"/>
          <w:szCs w:val="36"/>
        </w:rPr>
        <w:t>》</w:t>
      </w:r>
      <w:r>
        <w:rPr>
          <w:rFonts w:hint="eastAsia"/>
          <w:b/>
          <w:color w:val="000000"/>
          <w:sz w:val="36"/>
          <w:szCs w:val="36"/>
          <w:lang w:eastAsia="zh-CN"/>
        </w:rPr>
        <w:t>（征求意见稿）社会公众意见采纳情况表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13BBF"/>
    <w:rsid w:val="53413B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2018-12-04T08:04:00Z</dcterms:created>
  <dc:creator>方桂娜</dc:creator>
  <cp:lastModifiedBy>方桂娜</cp:lastModifiedBy>
  <dcterms:modified xsi:type="dcterms:W3CDTF">2018-12-04T08:14:12Z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