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left"/>
        <w:rPr>
          <w:rFonts w:ascii="黑体" w:hAnsi="黑体" w:eastAsia="黑体"/>
          <w:szCs w:val="32"/>
        </w:rPr>
      </w:pPr>
      <w:bookmarkStart w:id="0" w:name="红头"/>
      <w:r>
        <w:rPr>
          <w:rFonts w:hint="eastAsia" w:ascii="黑体" w:hAnsi="黑体" w:eastAsia="黑体"/>
          <w:szCs w:val="32"/>
        </w:rPr>
        <w:t>附件3</w:t>
      </w:r>
    </w:p>
    <w:p>
      <w:pPr>
        <w:snapToGrid w:val="0"/>
        <w:spacing w:line="6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年深圳市学校卫生监督抽查计划</w:t>
      </w:r>
    </w:p>
    <w:p>
      <w:pPr>
        <w:widowControl/>
        <w:spacing w:line="560" w:lineRule="exact"/>
        <w:ind w:firstLine="640"/>
        <w:rPr>
          <w:rFonts w:eastAsia="黑体" w:cs="黑体"/>
          <w:kern w:val="0"/>
          <w:szCs w:val="32"/>
        </w:rPr>
      </w:pPr>
      <w:r>
        <w:rPr>
          <w:rFonts w:hint="eastAsia" w:eastAsia="黑体" w:cs="黑体"/>
          <w:kern w:val="0"/>
          <w:szCs w:val="32"/>
        </w:rPr>
        <w:t>一、监督检查内容及要求</w:t>
      </w:r>
    </w:p>
    <w:p>
      <w:pPr>
        <w:spacing w:line="560" w:lineRule="exact"/>
        <w:ind w:firstLine="640" w:firstLineChars="200"/>
        <w:rPr>
          <w:rFonts w:ascii="仿宋_GB2312"/>
          <w:kern w:val="0"/>
        </w:rPr>
      </w:pPr>
      <w:r>
        <w:rPr>
          <w:rFonts w:hint="eastAsia" w:ascii="仿宋_GB2312"/>
          <w:kern w:val="0"/>
        </w:rPr>
        <w:t>学校教学环境、传染病防控以及学校内游泳场所的卫生管理情况，抽检教室采光照明和水质。开展学校卫生综合监督评价。</w:t>
      </w:r>
    </w:p>
    <w:p>
      <w:pPr>
        <w:spacing w:line="560" w:lineRule="exact"/>
        <w:ind w:firstLine="630"/>
        <w:rPr>
          <w:rFonts w:ascii="仿宋_GB2312"/>
          <w:szCs w:val="32"/>
        </w:rPr>
      </w:pPr>
      <w:r>
        <w:rPr>
          <w:rFonts w:hint="eastAsia" w:ascii="仿宋_GB2312"/>
          <w:kern w:val="0"/>
        </w:rPr>
        <w:t>按照《学校卫生工作条例》、《生活饮用水监督管理办法》、</w:t>
      </w:r>
      <w:r>
        <w:rPr>
          <w:rFonts w:hint="eastAsia" w:ascii="仿宋_GB2312"/>
          <w:szCs w:val="32"/>
        </w:rPr>
        <w:t>《学校卫生监督工作规范》等法律法规对学校的突发公共卫生事件管理、传染病和常见病防控、校内医疗机构及保健室、生活饮用水、教学环境、生活环境、公共场所等方面进行现场监督检查，并对学校的卫生情况做出综合监督评价。</w:t>
      </w:r>
    </w:p>
    <w:p>
      <w:pPr>
        <w:widowControl/>
        <w:spacing w:line="560" w:lineRule="exact"/>
        <w:ind w:firstLine="640"/>
        <w:rPr>
          <w:rFonts w:ascii="黑体" w:eastAsia="黑体"/>
          <w:kern w:val="0"/>
          <w:szCs w:val="32"/>
        </w:rPr>
      </w:pPr>
      <w:r>
        <w:rPr>
          <w:rFonts w:hint="eastAsia" w:ascii="黑体" w:eastAsia="黑体" w:cs="黑体"/>
          <w:kern w:val="0"/>
          <w:szCs w:val="32"/>
        </w:rPr>
        <w:t>二、职责分工</w:t>
      </w:r>
    </w:p>
    <w:p>
      <w:pPr>
        <w:widowControl/>
        <w:spacing w:line="560" w:lineRule="exact"/>
        <w:ind w:firstLine="640"/>
        <w:rPr>
          <w:rFonts w:ascii="楷体_GB2312" w:eastAsia="楷体_GB2312"/>
          <w:szCs w:val="32"/>
        </w:rPr>
      </w:pPr>
      <w:r>
        <w:rPr>
          <w:rFonts w:hint="eastAsia" w:ascii="楷体_GB2312" w:eastAsia="楷体_GB2312" w:cs="楷体_GB2312"/>
          <w:szCs w:val="32"/>
        </w:rPr>
        <w:t>（一）</w:t>
      </w:r>
      <w:r>
        <w:rPr>
          <w:rFonts w:hint="eastAsia" w:ascii="楷体_GB2312" w:eastAsia="楷体_GB2312" w:cs="楷体_GB2312"/>
          <w:szCs w:val="32"/>
          <w:lang w:eastAsia="zh-CN"/>
        </w:rPr>
        <w:t>卫生健康</w:t>
      </w:r>
      <w:r>
        <w:rPr>
          <w:rFonts w:hint="eastAsia" w:ascii="楷体_GB2312" w:eastAsia="楷体_GB2312" w:cs="楷体_GB2312"/>
          <w:szCs w:val="32"/>
        </w:rPr>
        <w:t>行政部门。</w:t>
      </w:r>
    </w:p>
    <w:p>
      <w:pPr>
        <w:widowControl/>
        <w:spacing w:line="560" w:lineRule="exact"/>
        <w:ind w:firstLine="640"/>
        <w:rPr>
          <w:rFonts w:ascii="仿宋_GB2312"/>
          <w:szCs w:val="32"/>
        </w:rPr>
      </w:pPr>
      <w:r>
        <w:rPr>
          <w:rFonts w:hint="eastAsia" w:ascii="仿宋_GB2312" w:cs="仿宋_GB2312"/>
          <w:szCs w:val="32"/>
        </w:rPr>
        <w:t>市</w:t>
      </w:r>
      <w:r>
        <w:rPr>
          <w:rFonts w:hint="eastAsia" w:ascii="仿宋_GB2312" w:cs="仿宋_GB2312"/>
          <w:szCs w:val="32"/>
          <w:lang w:eastAsia="zh-CN"/>
        </w:rPr>
        <w:t>卫生健康</w:t>
      </w:r>
      <w:r>
        <w:rPr>
          <w:rFonts w:hint="eastAsia" w:ascii="仿宋_GB2312" w:cs="仿宋_GB2312"/>
          <w:szCs w:val="32"/>
        </w:rPr>
        <w:t>委负责全市学校卫生重点监督检查计划的制定、对工作的执行情况进行全面督导</w:t>
      </w:r>
      <w:r>
        <w:rPr>
          <w:rFonts w:hint="eastAsia" w:cs="仿宋_GB2312"/>
          <w:szCs w:val="32"/>
        </w:rPr>
        <w:t>、信息汇总等工作</w:t>
      </w:r>
      <w:r>
        <w:rPr>
          <w:rFonts w:hint="eastAsia" w:ascii="仿宋_GB2312" w:cs="仿宋_GB2312"/>
          <w:szCs w:val="32"/>
        </w:rPr>
        <w:t>；负责总结全市学校卫生重点监督检查情况并向省</w:t>
      </w:r>
      <w:r>
        <w:rPr>
          <w:rFonts w:hint="eastAsia" w:ascii="仿宋_GB2312" w:cs="仿宋_GB2312"/>
          <w:szCs w:val="32"/>
          <w:lang w:eastAsia="zh-CN"/>
        </w:rPr>
        <w:t>卫生健康</w:t>
      </w:r>
      <w:r>
        <w:rPr>
          <w:rFonts w:hint="eastAsia" w:ascii="仿宋_GB2312" w:cs="仿宋_GB2312"/>
          <w:szCs w:val="32"/>
        </w:rPr>
        <w:t>委报送。</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lang w:eastAsia="zh-CN"/>
        </w:rPr>
        <w:t>卫生健康行政</w:t>
      </w:r>
      <w:r>
        <w:rPr>
          <w:rFonts w:hint="eastAsia" w:ascii="仿宋_GB2312" w:cs="仿宋_GB2312"/>
          <w:szCs w:val="32"/>
        </w:rPr>
        <w:t>部门负责本辖区学校卫生重点监督检查计划的制定、</w:t>
      </w:r>
      <w:r>
        <w:rPr>
          <w:rFonts w:hint="eastAsia" w:cs="仿宋_GB2312"/>
          <w:szCs w:val="32"/>
        </w:rPr>
        <w:t>组织协调、</w:t>
      </w:r>
      <w:r>
        <w:rPr>
          <w:rFonts w:hint="eastAsia" w:ascii="仿宋_GB2312" w:cs="仿宋_GB2312"/>
          <w:szCs w:val="32"/>
        </w:rPr>
        <w:t>对本辖区工作的执行情况进行督导、协调；负责汇总、分析、总结本辖区学校卫生重点监督检查信息情况并向市</w:t>
      </w:r>
      <w:r>
        <w:rPr>
          <w:rFonts w:hint="eastAsia" w:ascii="仿宋_GB2312" w:cs="仿宋_GB2312"/>
          <w:szCs w:val="32"/>
          <w:lang w:eastAsia="zh-CN"/>
        </w:rPr>
        <w:t>卫生健康</w:t>
      </w:r>
      <w:r>
        <w:rPr>
          <w:rFonts w:hint="eastAsia" w:ascii="仿宋_GB2312" w:cs="仿宋_GB2312"/>
          <w:szCs w:val="32"/>
        </w:rPr>
        <w:t>委的信息报送；负责协调处理下属单位在执行本方案过程中有推委、拖延、包庇、不作为等行为。</w:t>
      </w:r>
    </w:p>
    <w:p>
      <w:pPr>
        <w:widowControl/>
        <w:spacing w:line="560" w:lineRule="exact"/>
        <w:ind w:firstLine="640"/>
        <w:rPr>
          <w:rFonts w:ascii="楷体_GB2312" w:eastAsia="楷体_GB2312"/>
          <w:kern w:val="0"/>
          <w:szCs w:val="32"/>
        </w:rPr>
      </w:pPr>
      <w:r>
        <w:rPr>
          <w:rFonts w:hint="eastAsia" w:ascii="楷体_GB2312" w:eastAsia="楷体_GB2312" w:cs="楷体_GB2312"/>
          <w:kern w:val="0"/>
          <w:szCs w:val="32"/>
        </w:rPr>
        <w:t>（二）卫生监督机构。</w:t>
      </w:r>
    </w:p>
    <w:p>
      <w:pPr>
        <w:widowControl/>
        <w:spacing w:line="560" w:lineRule="exact"/>
        <w:ind w:firstLine="640"/>
        <w:rPr>
          <w:kern w:val="0"/>
          <w:szCs w:val="32"/>
        </w:rPr>
      </w:pPr>
      <w:r>
        <w:rPr>
          <w:rFonts w:hint="eastAsia" w:cs="仿宋_GB2312"/>
          <w:kern w:val="0"/>
          <w:szCs w:val="32"/>
        </w:rPr>
        <w:t>市卫生监督局负责直管单位的随机监督抽查工作；负责学校卫生的日常监督工作和学校卫生综合评价工作，负责对各区卫生监督机构的督促指导，汇总全市</w:t>
      </w:r>
      <w:r>
        <w:rPr>
          <w:rFonts w:hint="eastAsia" w:ascii="仿宋_GB2312" w:cs="仿宋_GB2312"/>
          <w:szCs w:val="32"/>
        </w:rPr>
        <w:t>学校卫生重点监督检查信息（监督和抽检）的收集，负责向市</w:t>
      </w:r>
      <w:r>
        <w:rPr>
          <w:rFonts w:hint="eastAsia" w:ascii="仿宋_GB2312" w:cs="仿宋_GB2312"/>
          <w:szCs w:val="32"/>
          <w:lang w:eastAsia="zh-CN"/>
        </w:rPr>
        <w:t>卫生健康</w:t>
      </w:r>
      <w:r>
        <w:rPr>
          <w:rFonts w:hint="eastAsia" w:ascii="仿宋_GB2312" w:cs="仿宋_GB2312"/>
          <w:szCs w:val="32"/>
        </w:rPr>
        <w:t>委、省卫生监督所等上级部门的信息报送及信息系统填报工作。</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cs="仿宋_GB2312"/>
          <w:kern w:val="0"/>
          <w:szCs w:val="32"/>
        </w:rPr>
        <w:t>卫生监督所负责本级监管学校的随机监督抽查、日常监督工作和学校卫生综合评价工作；汇总本辖区</w:t>
      </w:r>
      <w:r>
        <w:rPr>
          <w:rFonts w:hint="eastAsia" w:ascii="仿宋_GB2312" w:cs="仿宋_GB2312"/>
          <w:szCs w:val="32"/>
        </w:rPr>
        <w:t>学校卫生重点监督检查信息（监督和抽检）的收集，负责向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部门、市卫生监督局的信息报送工作。</w:t>
      </w:r>
    </w:p>
    <w:p>
      <w:pPr>
        <w:widowControl/>
        <w:spacing w:line="560" w:lineRule="exact"/>
        <w:ind w:firstLine="640"/>
        <w:rPr>
          <w:rFonts w:ascii="楷体_GB2312" w:eastAsia="楷体_GB2312"/>
          <w:kern w:val="0"/>
          <w:szCs w:val="32"/>
        </w:rPr>
      </w:pPr>
      <w:r>
        <w:rPr>
          <w:rFonts w:hint="eastAsia" w:ascii="楷体_GB2312" w:eastAsia="楷体_GB2312" w:cs="楷体_GB2312"/>
          <w:kern w:val="0"/>
          <w:szCs w:val="32"/>
        </w:rPr>
        <w:t>（三）</w:t>
      </w:r>
      <w:r>
        <w:rPr>
          <w:rFonts w:hint="eastAsia" w:ascii="楷体_GB2312" w:eastAsia="楷体_GB2312" w:cs="楷体_GB2312"/>
          <w:kern w:val="0"/>
          <w:szCs w:val="32"/>
          <w:lang w:eastAsia="zh-CN"/>
        </w:rPr>
        <w:t>疾病预防控制</w:t>
      </w:r>
      <w:r>
        <w:rPr>
          <w:rFonts w:hint="eastAsia" w:ascii="楷体_GB2312" w:eastAsia="楷体_GB2312" w:cs="楷体_GB2312"/>
          <w:kern w:val="0"/>
          <w:szCs w:val="32"/>
        </w:rPr>
        <w:t>机构。</w:t>
      </w:r>
    </w:p>
    <w:p>
      <w:pPr>
        <w:widowControl/>
        <w:spacing w:line="560" w:lineRule="exact"/>
        <w:ind w:firstLine="640"/>
        <w:rPr>
          <w:rFonts w:ascii="黑体" w:eastAsia="黑体"/>
          <w:kern w:val="0"/>
          <w:szCs w:val="32"/>
        </w:rPr>
      </w:pPr>
      <w:r>
        <w:rPr>
          <w:rFonts w:hint="eastAsia" w:cs="仿宋_GB2312"/>
          <w:kern w:val="0"/>
          <w:szCs w:val="32"/>
        </w:rPr>
        <w:t>市疾控中心负责市级直管学校的教室环境卫生、生活环境卫生、公共场所卫生</w:t>
      </w:r>
      <w:r>
        <w:rPr>
          <w:rFonts w:hint="eastAsia" w:cs="仿宋_GB2312"/>
          <w:kern w:val="0"/>
          <w:szCs w:val="32"/>
          <w:lang w:eastAsia="zh-CN"/>
        </w:rPr>
        <w:t>、饮用水</w:t>
      </w:r>
      <w:r>
        <w:rPr>
          <w:rFonts w:hint="eastAsia" w:cs="仿宋_GB2312"/>
          <w:kern w:val="0"/>
          <w:szCs w:val="32"/>
        </w:rPr>
        <w:t>的监测；</w:t>
      </w:r>
      <w:r>
        <w:rPr>
          <w:rFonts w:hint="eastAsia" w:ascii="仿宋_GB2312" w:cs="仿宋_GB2312"/>
          <w:szCs w:val="32"/>
        </w:rPr>
        <w:t>负责向市</w:t>
      </w:r>
      <w:r>
        <w:rPr>
          <w:rFonts w:hint="eastAsia" w:ascii="仿宋_GB2312" w:cs="仿宋_GB2312"/>
          <w:szCs w:val="32"/>
          <w:lang w:eastAsia="zh-CN"/>
        </w:rPr>
        <w:t>卫生健康</w:t>
      </w:r>
      <w:r>
        <w:rPr>
          <w:rFonts w:hint="eastAsia" w:ascii="仿宋_GB2312" w:cs="仿宋_GB2312"/>
          <w:szCs w:val="32"/>
        </w:rPr>
        <w:t>委、市卫生监督局的信息报送工作。</w:t>
      </w:r>
    </w:p>
    <w:p>
      <w:pPr>
        <w:widowControl/>
        <w:spacing w:line="560" w:lineRule="exact"/>
        <w:ind w:firstLine="640"/>
        <w:rPr>
          <w:rFonts w:ascii="仿宋_GB2312"/>
          <w:szCs w:val="32"/>
        </w:rPr>
      </w:pP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cs="仿宋_GB2312"/>
          <w:kern w:val="0"/>
          <w:szCs w:val="32"/>
        </w:rPr>
        <w:t>疾控中心负责区级监管学校的教室环境卫生、生活环境卫生、公共场所卫生</w:t>
      </w:r>
      <w:r>
        <w:rPr>
          <w:rFonts w:hint="eastAsia" w:cs="仿宋_GB2312"/>
          <w:kern w:val="0"/>
          <w:szCs w:val="32"/>
          <w:lang w:eastAsia="zh-CN"/>
        </w:rPr>
        <w:t>、饮用水</w:t>
      </w:r>
      <w:r>
        <w:rPr>
          <w:rFonts w:hint="eastAsia" w:cs="仿宋_GB2312"/>
          <w:kern w:val="0"/>
          <w:szCs w:val="32"/>
        </w:rPr>
        <w:t>的监测</w:t>
      </w:r>
      <w:r>
        <w:rPr>
          <w:rFonts w:hint="eastAsia" w:ascii="仿宋_GB2312" w:cs="仿宋_GB2312"/>
          <w:szCs w:val="32"/>
        </w:rPr>
        <w:t>；负责向</w:t>
      </w:r>
      <w:r>
        <w:rPr>
          <w:rFonts w:hint="eastAsia" w:ascii="仿宋_GB2312" w:cs="仿宋_GB2312"/>
          <w:szCs w:val="32"/>
          <w:lang w:eastAsia="zh-CN"/>
        </w:rPr>
        <w:t>同</w:t>
      </w:r>
      <w:r>
        <w:rPr>
          <w:rFonts w:hint="eastAsia" w:ascii="仿宋_GB2312" w:cs="仿宋_GB2312"/>
          <w:szCs w:val="32"/>
        </w:rPr>
        <w:t>区卫生监督所、市疾控中心的信息报送工作。</w:t>
      </w:r>
    </w:p>
    <w:p>
      <w:pPr>
        <w:spacing w:line="560" w:lineRule="exact"/>
        <w:ind w:firstLine="640" w:firstLineChars="200"/>
        <w:rPr>
          <w:rFonts w:ascii="宋体"/>
          <w:kern w:val="0"/>
          <w:sz w:val="24"/>
        </w:rPr>
      </w:pPr>
      <w:r>
        <w:rPr>
          <w:rFonts w:hint="eastAsia" w:ascii="黑体" w:eastAsia="黑体" w:cs="黑体"/>
          <w:kern w:val="0"/>
          <w:szCs w:val="32"/>
        </w:rPr>
        <w:t>四、信息报送</w:t>
      </w:r>
    </w:p>
    <w:p>
      <w:pPr>
        <w:widowControl/>
        <w:spacing w:line="560" w:lineRule="exact"/>
        <w:ind w:firstLine="640"/>
        <w:rPr>
          <w:rFonts w:ascii="楷体_GB2312" w:eastAsia="楷体_GB2312"/>
          <w:szCs w:val="32"/>
        </w:rPr>
      </w:pPr>
      <w:r>
        <w:rPr>
          <w:rFonts w:hint="eastAsia" w:ascii="楷体_GB2312" w:eastAsia="楷体_GB2312" w:cs="仿宋_GB2312"/>
          <w:szCs w:val="32"/>
        </w:rPr>
        <w:t>（一）</w:t>
      </w:r>
      <w:r>
        <w:rPr>
          <w:rFonts w:hint="eastAsia" w:ascii="楷体_GB2312" w:eastAsia="楷体_GB2312" w:cs="仿宋_GB2312"/>
          <w:szCs w:val="32"/>
          <w:lang w:eastAsia="zh-CN"/>
        </w:rPr>
        <w:t>卫生健康行政</w:t>
      </w:r>
      <w:r>
        <w:rPr>
          <w:rFonts w:hint="eastAsia" w:ascii="楷体_GB2312" w:eastAsia="楷体_GB2312" w:cs="仿宋_GB2312"/>
          <w:szCs w:val="32"/>
        </w:rPr>
        <w:t>部门。</w:t>
      </w:r>
    </w:p>
    <w:p>
      <w:pPr>
        <w:widowControl/>
        <w:spacing w:line="560" w:lineRule="exact"/>
        <w:ind w:firstLine="640"/>
        <w:rPr>
          <w:rFonts w:ascii="仿宋_GB2312" w:cs="仿宋_GB2312"/>
          <w:szCs w:val="32"/>
        </w:rPr>
      </w:pPr>
      <w:r>
        <w:rPr>
          <w:rFonts w:ascii="仿宋_GB2312" w:cs="仿宋_GB2312"/>
          <w:szCs w:val="32"/>
        </w:rPr>
        <w:t>1.</w:t>
      </w:r>
      <w:r>
        <w:rPr>
          <w:rFonts w:hint="eastAsia" w:ascii="仿宋_GB2312" w:cs="仿宋_GB2312"/>
          <w:szCs w:val="32"/>
        </w:rPr>
        <w:t>市</w:t>
      </w:r>
      <w:r>
        <w:rPr>
          <w:rFonts w:hint="eastAsia" w:ascii="仿宋_GB2312" w:cs="仿宋_GB2312"/>
          <w:szCs w:val="32"/>
          <w:lang w:eastAsia="zh-CN"/>
        </w:rPr>
        <w:t>卫生健康</w:t>
      </w:r>
      <w:r>
        <w:rPr>
          <w:rFonts w:hint="eastAsia" w:ascii="仿宋_GB2312" w:cs="仿宋_GB2312"/>
          <w:szCs w:val="32"/>
        </w:rPr>
        <w:t>委负责全市学校卫生重点监督检查信息的收集，负责向省</w:t>
      </w:r>
      <w:r>
        <w:rPr>
          <w:rFonts w:hint="eastAsia" w:ascii="仿宋_GB2312" w:cs="仿宋_GB2312"/>
          <w:szCs w:val="32"/>
          <w:lang w:eastAsia="zh-CN"/>
        </w:rPr>
        <w:t>卫生健康</w:t>
      </w:r>
      <w:r>
        <w:rPr>
          <w:rFonts w:hint="eastAsia" w:ascii="仿宋_GB2312" w:cs="仿宋_GB2312"/>
          <w:szCs w:val="32"/>
        </w:rPr>
        <w:t>委的信息报送工作。</w:t>
      </w:r>
    </w:p>
    <w:p>
      <w:pPr>
        <w:widowControl/>
        <w:spacing w:line="560" w:lineRule="exact"/>
        <w:ind w:firstLine="640"/>
        <w:rPr>
          <w:rFonts w:ascii="仿宋_GB2312"/>
          <w:szCs w:val="32"/>
        </w:rPr>
      </w:pPr>
      <w:r>
        <w:rPr>
          <w:rFonts w:ascii="仿宋_GB2312" w:cs="仿宋_GB2312"/>
          <w:szCs w:val="32"/>
        </w:rPr>
        <w:t>2.</w:t>
      </w: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lang w:eastAsia="zh-CN"/>
        </w:rPr>
        <w:t>卫生健康行政</w:t>
      </w:r>
      <w:r>
        <w:rPr>
          <w:rFonts w:hint="eastAsia" w:ascii="仿宋_GB2312" w:cs="仿宋_GB2312"/>
          <w:szCs w:val="32"/>
        </w:rPr>
        <w:t>部门负责本辖区学校卫生重点监督检查信息的收集，负责向市</w:t>
      </w:r>
      <w:r>
        <w:rPr>
          <w:rFonts w:hint="eastAsia" w:ascii="仿宋_GB2312" w:cs="仿宋_GB2312"/>
          <w:szCs w:val="32"/>
          <w:lang w:eastAsia="zh-CN"/>
        </w:rPr>
        <w:t>卫生健康</w:t>
      </w:r>
      <w:r>
        <w:rPr>
          <w:rFonts w:hint="eastAsia" w:ascii="仿宋_GB2312" w:cs="仿宋_GB2312"/>
          <w:szCs w:val="32"/>
        </w:rPr>
        <w:t>委的信息报送工作。</w:t>
      </w:r>
    </w:p>
    <w:p>
      <w:pPr>
        <w:widowControl/>
        <w:spacing w:line="560" w:lineRule="exact"/>
        <w:ind w:firstLine="640"/>
        <w:rPr>
          <w:rFonts w:ascii="楷体_GB2312" w:eastAsia="楷体_GB2312"/>
          <w:kern w:val="0"/>
          <w:szCs w:val="32"/>
        </w:rPr>
      </w:pPr>
      <w:r>
        <w:rPr>
          <w:rFonts w:hint="eastAsia" w:ascii="楷体_GB2312" w:eastAsia="楷体_GB2312" w:cs="仿宋_GB2312"/>
          <w:kern w:val="0"/>
          <w:szCs w:val="32"/>
        </w:rPr>
        <w:t>（二）卫生监督</w:t>
      </w:r>
      <w:r>
        <w:rPr>
          <w:rFonts w:hint="eastAsia" w:ascii="楷体_GB2312" w:eastAsia="楷体_GB2312" w:cs="仿宋_GB2312"/>
          <w:kern w:val="0"/>
          <w:szCs w:val="32"/>
          <w:lang w:eastAsia="zh-CN"/>
        </w:rPr>
        <w:t>机构</w:t>
      </w:r>
      <w:r>
        <w:rPr>
          <w:rFonts w:hint="eastAsia" w:ascii="楷体_GB2312" w:eastAsia="楷体_GB2312" w:cs="仿宋_GB2312"/>
          <w:szCs w:val="32"/>
        </w:rPr>
        <w:t>。</w:t>
      </w:r>
    </w:p>
    <w:p>
      <w:pPr>
        <w:widowControl/>
        <w:spacing w:line="560" w:lineRule="exact"/>
        <w:ind w:firstLine="640"/>
        <w:rPr>
          <w:rFonts w:ascii="仿宋_GB2312"/>
          <w:kern w:val="0"/>
          <w:szCs w:val="32"/>
        </w:rPr>
      </w:pPr>
      <w:r>
        <w:rPr>
          <w:rFonts w:hint="eastAsia" w:ascii="仿宋_GB2312"/>
          <w:kern w:val="0"/>
          <w:szCs w:val="32"/>
        </w:rPr>
        <w:t>1.</w:t>
      </w:r>
      <w:r>
        <w:rPr>
          <w:rFonts w:hint="eastAsia" w:ascii="仿宋_GB2312" w:cs="仿宋_GB2312"/>
          <w:kern w:val="0"/>
          <w:szCs w:val="32"/>
        </w:rPr>
        <w:t>市卫生监督局负责汇总全市</w:t>
      </w:r>
      <w:r>
        <w:rPr>
          <w:rFonts w:hint="eastAsia" w:ascii="仿宋_GB2312" w:cs="仿宋_GB2312"/>
          <w:szCs w:val="32"/>
        </w:rPr>
        <w:t>学校卫生重点监督检查信息（监督部分）的收集，负责向市</w:t>
      </w:r>
      <w:r>
        <w:rPr>
          <w:rFonts w:hint="eastAsia" w:ascii="仿宋_GB2312" w:cs="仿宋_GB2312"/>
          <w:szCs w:val="32"/>
          <w:lang w:eastAsia="zh-CN"/>
        </w:rPr>
        <w:t>卫生健康</w:t>
      </w:r>
      <w:r>
        <w:rPr>
          <w:rFonts w:hint="eastAsia" w:ascii="仿宋_GB2312" w:cs="仿宋_GB2312"/>
          <w:szCs w:val="32"/>
        </w:rPr>
        <w:t>委和省</w:t>
      </w:r>
      <w:r>
        <w:rPr>
          <w:rFonts w:hint="eastAsia" w:ascii="仿宋_GB2312" w:cs="仿宋_GB2312"/>
          <w:kern w:val="0"/>
          <w:szCs w:val="32"/>
        </w:rPr>
        <w:t>卫生监督所</w:t>
      </w:r>
      <w:r>
        <w:rPr>
          <w:rFonts w:hint="eastAsia" w:ascii="仿宋_GB2312" w:cs="仿宋_GB2312"/>
          <w:szCs w:val="32"/>
        </w:rPr>
        <w:t>的信息报送工作；</w:t>
      </w:r>
    </w:p>
    <w:p>
      <w:pPr>
        <w:spacing w:line="560" w:lineRule="exact"/>
        <w:ind w:firstLine="640" w:firstLineChars="200"/>
        <w:rPr>
          <w:rStyle w:val="14"/>
          <w:sz w:val="30"/>
          <w:szCs w:val="30"/>
        </w:rPr>
      </w:pPr>
      <w:r>
        <w:rPr>
          <w:rFonts w:hint="eastAsia" w:ascii="仿宋_GB2312"/>
          <w:kern w:val="0"/>
          <w:szCs w:val="32"/>
        </w:rPr>
        <w:t>2.</w:t>
      </w: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w:t>
      </w:r>
      <w:r>
        <w:rPr>
          <w:rFonts w:hint="eastAsia" w:cs="仿宋_GB2312"/>
          <w:kern w:val="0"/>
          <w:szCs w:val="32"/>
        </w:rPr>
        <w:t>卫生监督所汇总本辖区</w:t>
      </w:r>
      <w:r>
        <w:rPr>
          <w:rFonts w:hint="eastAsia" w:ascii="仿宋_GB2312" w:cs="仿宋_GB2312"/>
          <w:szCs w:val="32"/>
        </w:rPr>
        <w:t>学校卫生重点监督检查信息（监督部分）的收集，负责向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部门、市卫生监督局的信息报送工作。各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rPr>
        <w:t>卫生监督所</w:t>
      </w:r>
      <w:r>
        <w:rPr>
          <w:rFonts w:hint="eastAsia" w:ascii="仿宋_GB2312" w:cs="仿宋_GB2312"/>
          <w:kern w:val="0"/>
          <w:szCs w:val="32"/>
        </w:rPr>
        <w:t>在</w:t>
      </w:r>
      <w:r>
        <w:rPr>
          <w:rFonts w:hint="eastAsia" w:ascii="仿宋_GB2312" w:cs="仿宋_GB2312"/>
          <w:kern w:val="0"/>
          <w:szCs w:val="32"/>
          <w:lang w:val="en-US" w:eastAsia="zh-CN"/>
        </w:rPr>
        <w:t>2020年</w:t>
      </w:r>
      <w:r>
        <w:rPr>
          <w:rFonts w:hint="eastAsia" w:ascii="仿宋_GB2312" w:cs="仿宋_GB2312"/>
          <w:kern w:val="0"/>
          <w:szCs w:val="32"/>
        </w:rPr>
        <w:t>6月1日前完成30%以上学校抽查任务的结果报送</w:t>
      </w:r>
      <w:r>
        <w:rPr>
          <w:rFonts w:hint="eastAsia" w:ascii="仿宋_GB2312" w:cs="仿宋_GB2312"/>
          <w:kern w:val="0"/>
          <w:szCs w:val="32"/>
          <w:lang w:val="en-US" w:eastAsia="zh-CN"/>
        </w:rPr>
        <w:t>,在11月30日前完成剩余全部抽查任务的结果报送，并</w:t>
      </w:r>
      <w:r>
        <w:rPr>
          <w:rFonts w:hint="eastAsia" w:ascii="仿宋_GB2312" w:cs="仿宋_GB2312"/>
          <w:szCs w:val="32"/>
        </w:rPr>
        <w:t>将</w:t>
      </w:r>
      <w:r>
        <w:rPr>
          <w:rFonts w:hint="eastAsia" w:ascii="仿宋_GB2312" w:cs="仿宋_GB2312"/>
          <w:szCs w:val="32"/>
          <w:lang w:eastAsia="zh-CN"/>
        </w:rPr>
        <w:t>本年度</w:t>
      </w:r>
      <w:r>
        <w:rPr>
          <w:rFonts w:hint="eastAsia" w:ascii="仿宋_GB2312" w:cs="仿宋_GB2312"/>
          <w:szCs w:val="32"/>
        </w:rPr>
        <w:t>的本辖区学校卫生监督抽检工作总结报送至深圳市卫生监督局。同时报送电子版附表电子版发送至深圳市卫生监督局学校卫生与饮用水监督科邮箱（</w:t>
      </w:r>
      <w:r>
        <w:fldChar w:fldCharType="begin"/>
      </w:r>
      <w:r>
        <w:instrText xml:space="preserve"> HYPERLINK "mailto:sjhjwsk@163.com）" </w:instrText>
      </w:r>
      <w:r>
        <w:fldChar w:fldCharType="separate"/>
      </w:r>
      <w:r>
        <w:rPr>
          <w:rFonts w:ascii="仿宋_GB2312" w:cs="仿宋_GB2312"/>
        </w:rPr>
        <w:t>sj</w:t>
      </w:r>
      <w:r>
        <w:rPr>
          <w:rFonts w:hint="eastAsia" w:ascii="仿宋_GB2312" w:cs="仿宋_GB2312"/>
        </w:rPr>
        <w:t>xueweike</w:t>
      </w:r>
      <w:r>
        <w:rPr>
          <w:rFonts w:ascii="仿宋_GB2312" w:cs="仿宋_GB2312"/>
        </w:rPr>
        <w:t>@163.com</w:t>
      </w:r>
      <w:r>
        <w:rPr>
          <w:rFonts w:hint="eastAsia" w:ascii="仿宋_GB2312"/>
        </w:rPr>
        <w:t>）</w:t>
      </w:r>
      <w:r>
        <w:rPr>
          <w:rFonts w:hint="eastAsia" w:ascii="仿宋_GB2312"/>
        </w:rPr>
        <w:fldChar w:fldCharType="end"/>
      </w:r>
      <w:r>
        <w:rPr>
          <w:rFonts w:hint="eastAsia" w:cs="仿宋_GB2312"/>
          <w:szCs w:val="32"/>
        </w:rPr>
        <w:t>。</w:t>
      </w:r>
    </w:p>
    <w:p>
      <w:pPr>
        <w:widowControl/>
        <w:spacing w:line="560" w:lineRule="exact"/>
        <w:ind w:firstLine="640"/>
        <w:rPr>
          <w:rFonts w:ascii="楷体_GB2312" w:eastAsia="楷体_GB2312"/>
          <w:kern w:val="0"/>
          <w:szCs w:val="32"/>
        </w:rPr>
      </w:pPr>
      <w:r>
        <w:rPr>
          <w:rFonts w:hint="eastAsia" w:ascii="楷体_GB2312" w:eastAsia="楷体_GB2312" w:cs="仿宋_GB2312"/>
          <w:kern w:val="0"/>
          <w:szCs w:val="32"/>
        </w:rPr>
        <w:t>（三）</w:t>
      </w:r>
      <w:r>
        <w:rPr>
          <w:rFonts w:hint="eastAsia" w:ascii="楷体_GB2312" w:eastAsia="楷体_GB2312" w:cs="仿宋_GB2312"/>
          <w:kern w:val="0"/>
          <w:szCs w:val="32"/>
          <w:lang w:eastAsia="zh-CN"/>
        </w:rPr>
        <w:t>疾病预防控制机构</w:t>
      </w:r>
      <w:r>
        <w:rPr>
          <w:rFonts w:hint="eastAsia" w:ascii="楷体_GB2312" w:eastAsia="楷体_GB2312" w:cs="仿宋_GB2312"/>
          <w:szCs w:val="32"/>
        </w:rPr>
        <w:t>。</w:t>
      </w:r>
    </w:p>
    <w:p>
      <w:pPr>
        <w:spacing w:line="560" w:lineRule="exact"/>
        <w:ind w:firstLine="640" w:firstLineChars="200"/>
        <w:rPr>
          <w:rFonts w:ascii="仿宋_GB2312" w:cs="仿宋_GB2312"/>
          <w:szCs w:val="32"/>
        </w:rPr>
      </w:pPr>
      <w:r>
        <w:rPr>
          <w:rFonts w:hint="eastAsia" w:ascii="仿宋_GB2312"/>
          <w:kern w:val="0"/>
          <w:szCs w:val="32"/>
        </w:rPr>
        <w:t>1.</w:t>
      </w:r>
      <w:r>
        <w:rPr>
          <w:rFonts w:hint="eastAsia" w:ascii="仿宋_GB2312" w:cs="仿宋_GB2312"/>
          <w:kern w:val="0"/>
          <w:szCs w:val="32"/>
        </w:rPr>
        <w:t>市疾控中心负责汇总全市</w:t>
      </w:r>
      <w:r>
        <w:rPr>
          <w:rFonts w:hint="eastAsia" w:ascii="仿宋_GB2312" w:cs="仿宋_GB2312"/>
          <w:szCs w:val="32"/>
        </w:rPr>
        <w:t>（含市直管）学校检测信息的收集，负责向市</w:t>
      </w:r>
      <w:r>
        <w:rPr>
          <w:rFonts w:hint="eastAsia" w:ascii="仿宋_GB2312" w:cs="仿宋_GB2312"/>
          <w:szCs w:val="32"/>
          <w:lang w:eastAsia="zh-CN"/>
        </w:rPr>
        <w:t>卫生健康</w:t>
      </w:r>
      <w:r>
        <w:rPr>
          <w:rFonts w:hint="eastAsia" w:ascii="仿宋_GB2312" w:cs="仿宋_GB2312"/>
          <w:szCs w:val="32"/>
        </w:rPr>
        <w:t>委、市卫生监督局的信息报送工作；电子版发送至深圳市卫生监督局学校卫生与饮用水监督科邮箱（</w:t>
      </w:r>
      <w:r>
        <w:fldChar w:fldCharType="begin"/>
      </w:r>
      <w:r>
        <w:instrText xml:space="preserve"> HYPERLINK "mailto:sjhjwsk@163.com）" </w:instrText>
      </w:r>
      <w:r>
        <w:fldChar w:fldCharType="separate"/>
      </w:r>
      <w:r>
        <w:rPr>
          <w:rFonts w:hint="eastAsia" w:ascii="仿宋_GB2312" w:cs="仿宋_GB2312"/>
          <w:szCs w:val="32"/>
        </w:rPr>
        <w:t>sjxueweike@163.com）</w:t>
      </w:r>
      <w:r>
        <w:rPr>
          <w:rFonts w:hint="eastAsia" w:ascii="仿宋_GB2312" w:cs="仿宋_GB2312"/>
          <w:szCs w:val="32"/>
        </w:rPr>
        <w:fldChar w:fldCharType="end"/>
      </w:r>
      <w:r>
        <w:rPr>
          <w:rFonts w:hint="eastAsia" w:ascii="仿宋_GB2312" w:cs="仿宋_GB2312"/>
          <w:szCs w:val="32"/>
        </w:rPr>
        <w:t>。</w:t>
      </w:r>
      <w:r>
        <w:rPr>
          <w:rFonts w:hint="eastAsia" w:ascii="仿宋_GB2312" w:cs="仿宋_GB2312"/>
          <w:kern w:val="0"/>
          <w:szCs w:val="32"/>
        </w:rPr>
        <w:t>在</w:t>
      </w:r>
      <w:r>
        <w:rPr>
          <w:rFonts w:hint="eastAsia" w:ascii="仿宋_GB2312" w:cs="仿宋_GB2312"/>
          <w:kern w:val="0"/>
          <w:szCs w:val="32"/>
          <w:lang w:val="en-US" w:eastAsia="zh-CN"/>
        </w:rPr>
        <w:t>2020年</w:t>
      </w:r>
      <w:r>
        <w:rPr>
          <w:rFonts w:hint="eastAsia" w:ascii="仿宋_GB2312" w:cs="仿宋_GB2312"/>
          <w:kern w:val="0"/>
          <w:szCs w:val="32"/>
        </w:rPr>
        <w:t>6月1日前完成30%以上学校抽查任务的结果报送</w:t>
      </w:r>
      <w:r>
        <w:rPr>
          <w:rFonts w:hint="eastAsia" w:ascii="仿宋_GB2312" w:cs="仿宋_GB2312"/>
          <w:kern w:val="0"/>
          <w:szCs w:val="32"/>
          <w:lang w:val="en-US" w:eastAsia="zh-CN"/>
        </w:rPr>
        <w:t>,在11月30日前完成剩余全部抽查任务的结果报送。</w:t>
      </w:r>
    </w:p>
    <w:p>
      <w:pPr>
        <w:widowControl/>
        <w:spacing w:line="560" w:lineRule="exact"/>
        <w:ind w:firstLine="640"/>
        <w:rPr>
          <w:rFonts w:ascii="仿宋_GB2312" w:cs="仿宋_GB2312"/>
          <w:szCs w:val="32"/>
        </w:rPr>
      </w:pPr>
      <w:r>
        <w:rPr>
          <w:rFonts w:hint="eastAsia" w:ascii="仿宋_GB2312" w:cs="仿宋_GB2312"/>
          <w:szCs w:val="32"/>
        </w:rPr>
        <w:t>2.各</w:t>
      </w:r>
      <w:r>
        <w:rPr>
          <w:rFonts w:hint="eastAsia" w:ascii="仿宋_GB2312" w:cs="仿宋_GB2312"/>
          <w:kern w:val="0"/>
          <w:szCs w:val="32"/>
        </w:rPr>
        <w:t>区</w:t>
      </w:r>
      <w:r>
        <w:rPr>
          <w:rFonts w:hint="eastAsia" w:ascii="仿宋_GB2312" w:cs="仿宋_GB2312"/>
          <w:kern w:val="0"/>
          <w:szCs w:val="32"/>
          <w:lang w:eastAsia="zh-CN"/>
        </w:rPr>
        <w:t>（新区）</w:t>
      </w:r>
      <w:r>
        <w:rPr>
          <w:rFonts w:hint="eastAsia" w:ascii="仿宋_GB2312" w:cs="仿宋_GB2312"/>
          <w:szCs w:val="32"/>
        </w:rPr>
        <w:t>疾控中心负责汇总本辖区学校检测信息的收集，负责向</w:t>
      </w:r>
      <w:r>
        <w:rPr>
          <w:rFonts w:hint="eastAsia" w:ascii="仿宋_GB2312" w:cs="仿宋_GB2312"/>
          <w:szCs w:val="32"/>
          <w:lang w:eastAsia="zh-CN"/>
        </w:rPr>
        <w:t>同</w:t>
      </w:r>
      <w:r>
        <w:rPr>
          <w:rFonts w:hint="eastAsia" w:ascii="仿宋_GB2312" w:cs="仿宋_GB2312"/>
          <w:szCs w:val="32"/>
        </w:rPr>
        <w:t>区</w:t>
      </w:r>
      <w:r>
        <w:rPr>
          <w:rFonts w:hint="eastAsia" w:ascii="仿宋_GB2312" w:cs="仿宋_GB2312"/>
          <w:szCs w:val="32"/>
          <w:lang w:eastAsia="zh-CN"/>
        </w:rPr>
        <w:t>卫生健康行政</w:t>
      </w:r>
      <w:r>
        <w:rPr>
          <w:rFonts w:hint="eastAsia" w:ascii="仿宋_GB2312" w:cs="仿宋_GB2312"/>
          <w:szCs w:val="32"/>
        </w:rPr>
        <w:t>部门、</w:t>
      </w:r>
      <w:r>
        <w:rPr>
          <w:rFonts w:hint="eastAsia" w:ascii="仿宋_GB2312" w:cs="仿宋_GB2312"/>
          <w:szCs w:val="32"/>
          <w:lang w:eastAsia="zh-CN"/>
        </w:rPr>
        <w:t>同</w:t>
      </w:r>
      <w:r>
        <w:rPr>
          <w:rFonts w:hint="eastAsia" w:ascii="仿宋_GB2312" w:cs="仿宋_GB2312"/>
          <w:szCs w:val="32"/>
        </w:rPr>
        <w:t>区卫生监督所、市疾控中心的信息报送工作。</w:t>
      </w:r>
    </w:p>
    <w:p>
      <w:pPr>
        <w:spacing w:line="560" w:lineRule="exact"/>
        <w:ind w:firstLine="640" w:firstLineChars="200"/>
        <w:rPr>
          <w:rFonts w:ascii="宋体"/>
          <w:kern w:val="0"/>
          <w:sz w:val="24"/>
        </w:rPr>
      </w:pPr>
      <w:r>
        <w:rPr>
          <w:rFonts w:hint="eastAsia" w:ascii="黑体" w:eastAsia="黑体" w:cs="黑体"/>
          <w:kern w:val="0"/>
          <w:szCs w:val="32"/>
        </w:rPr>
        <w:t>五、工作要求</w:t>
      </w:r>
    </w:p>
    <w:p>
      <w:pPr>
        <w:spacing w:line="560" w:lineRule="exact"/>
        <w:ind w:firstLine="640" w:firstLineChars="200"/>
        <w:rPr>
          <w:rFonts w:hint="eastAsia" w:ascii="仿宋_GB2312" w:eastAsia="仿宋_GB2312" w:cs="仿宋_GB2312"/>
          <w:kern w:val="0"/>
          <w:szCs w:val="32"/>
          <w:lang w:val="en-US" w:eastAsia="zh-CN"/>
        </w:rPr>
      </w:pPr>
      <w:r>
        <w:rPr>
          <w:rFonts w:hint="eastAsia" w:ascii="仿宋_GB2312" w:cs="仿宋_GB2312"/>
          <w:kern w:val="0"/>
          <w:szCs w:val="32"/>
        </w:rPr>
        <w:t>（一）</w:t>
      </w:r>
      <w:r>
        <w:rPr>
          <w:rFonts w:hint="eastAsia" w:ascii="仿宋_GB2312" w:cs="仿宋_GB2312"/>
          <w:szCs w:val="32"/>
        </w:rPr>
        <w:t>各</w:t>
      </w:r>
      <w:r>
        <w:rPr>
          <w:rFonts w:hint="eastAsia" w:ascii="仿宋_GB2312" w:cs="仿宋_GB2312"/>
          <w:kern w:val="0"/>
          <w:szCs w:val="32"/>
        </w:rPr>
        <w:t>区</w:t>
      </w:r>
      <w:r>
        <w:rPr>
          <w:rFonts w:hint="eastAsia" w:ascii="仿宋_GB2312" w:cs="仿宋_GB2312"/>
          <w:kern w:val="0"/>
          <w:szCs w:val="32"/>
          <w:lang w:eastAsia="zh-CN"/>
        </w:rPr>
        <w:t>（新区）卫生健康行政</w:t>
      </w:r>
      <w:r>
        <w:rPr>
          <w:rFonts w:hint="eastAsia" w:ascii="仿宋_GB2312" w:cs="仿宋_GB2312"/>
          <w:kern w:val="0"/>
          <w:szCs w:val="32"/>
        </w:rPr>
        <w:t>部门、</w:t>
      </w:r>
      <w:r>
        <w:rPr>
          <w:rFonts w:hint="eastAsia" w:cs="仿宋_GB2312"/>
          <w:kern w:val="0"/>
          <w:szCs w:val="32"/>
        </w:rPr>
        <w:t>市卫生监督局、市疾控中心</w:t>
      </w:r>
      <w:r>
        <w:rPr>
          <w:rFonts w:hint="eastAsia" w:ascii="仿宋_GB2312" w:cs="仿宋_GB2312"/>
          <w:kern w:val="0"/>
          <w:szCs w:val="32"/>
        </w:rPr>
        <w:t>要严格按照法律法规、标准和规范的要求，开展重点监督检查工作，要根据监督检查工作计划要求，制订具体实施方案。</w:t>
      </w:r>
    </w:p>
    <w:p>
      <w:pPr>
        <w:spacing w:line="560" w:lineRule="exact"/>
        <w:ind w:firstLine="643"/>
        <w:jc w:val="left"/>
        <w:rPr>
          <w:rFonts w:ascii="仿宋_GB2312"/>
          <w:szCs w:val="32"/>
        </w:rPr>
      </w:pPr>
      <w:r>
        <w:rPr>
          <w:rFonts w:hint="eastAsia" w:ascii="仿宋_GB2312" w:cs="仿宋_GB2312"/>
          <w:kern w:val="0"/>
          <w:szCs w:val="32"/>
        </w:rPr>
        <w:t>（二）</w:t>
      </w:r>
      <w:r>
        <w:rPr>
          <w:rFonts w:hint="eastAsia" w:ascii="仿宋_GB2312"/>
          <w:szCs w:val="32"/>
        </w:rPr>
        <w:t>在落实学校卫生专项监督抽检计划的过程中，</w:t>
      </w:r>
      <w:r>
        <w:rPr>
          <w:rFonts w:hint="eastAsia" w:ascii="仿宋_GB2312" w:cs="仿宋_GB2312"/>
          <w:kern w:val="0"/>
          <w:szCs w:val="32"/>
        </w:rPr>
        <w:t>对监督检查发现的违法行为要严格依法查处</w:t>
      </w:r>
      <w:r>
        <w:rPr>
          <w:rFonts w:hint="eastAsia" w:ascii="仿宋_GB2312"/>
          <w:szCs w:val="32"/>
        </w:rPr>
        <w:t>，发现学校卫生存在的薄弱环节，提出合理、可行的指导建议，协助学校建立完善环境卫生、饮用水和传染病防控等有关卫生管理制度，逐步提升学校卫生工作管理水平。</w:t>
      </w:r>
    </w:p>
    <w:p>
      <w:pPr>
        <w:spacing w:line="560" w:lineRule="exact"/>
        <w:rPr>
          <w:rFonts w:ascii="宋体"/>
          <w:kern w:val="0"/>
          <w:sz w:val="24"/>
        </w:rPr>
      </w:pPr>
      <w:r>
        <w:rPr>
          <w:rFonts w:hint="eastAsia" w:ascii="黑体" w:hAnsi="黑体" w:eastAsia="黑体" w:cs="黑体"/>
          <w:szCs w:val="32"/>
        </w:rPr>
        <w:t xml:space="preserve">   六、联系人及联系方式</w:t>
      </w:r>
    </w:p>
    <w:p>
      <w:pPr>
        <w:spacing w:line="560" w:lineRule="exact"/>
        <w:ind w:firstLine="636" w:firstLineChars="199"/>
        <w:rPr>
          <w:rFonts w:ascii="楷体" w:hAnsi="楷体" w:eastAsia="楷体"/>
          <w:szCs w:val="32"/>
        </w:rPr>
      </w:pPr>
      <w:r>
        <w:rPr>
          <w:rFonts w:hint="eastAsia" w:ascii="仿宋_GB2312" w:cs="仿宋_GB2312"/>
          <w:kern w:val="0"/>
          <w:szCs w:val="32"/>
        </w:rPr>
        <w:t>（一）</w:t>
      </w:r>
      <w:r>
        <w:rPr>
          <w:rFonts w:hint="eastAsia" w:ascii="楷体" w:hAnsi="楷体" w:eastAsia="楷体" w:cs="楷体"/>
          <w:szCs w:val="32"/>
        </w:rPr>
        <w:t>市</w:t>
      </w:r>
      <w:r>
        <w:rPr>
          <w:rFonts w:hint="eastAsia" w:ascii="楷体" w:hAnsi="楷体" w:eastAsia="楷体" w:cs="楷体"/>
          <w:szCs w:val="32"/>
          <w:lang w:eastAsia="zh-CN"/>
        </w:rPr>
        <w:t>卫生健康</w:t>
      </w:r>
      <w:r>
        <w:rPr>
          <w:rFonts w:hint="eastAsia" w:ascii="楷体" w:hAnsi="楷体" w:eastAsia="楷体" w:cs="楷体"/>
          <w:szCs w:val="32"/>
        </w:rPr>
        <w:t>委。</w:t>
      </w:r>
    </w:p>
    <w:p>
      <w:pPr>
        <w:spacing w:line="560" w:lineRule="exact"/>
        <w:ind w:firstLine="796" w:firstLineChars="249"/>
        <w:rPr>
          <w:rFonts w:ascii="仿宋_GB2312" w:cs="仿宋_GB2312"/>
          <w:kern w:val="0"/>
          <w:szCs w:val="32"/>
        </w:rPr>
      </w:pPr>
      <w:r>
        <w:rPr>
          <w:rFonts w:hint="eastAsia" w:ascii="仿宋_GB2312" w:cs="仿宋_GB2312"/>
          <w:kern w:val="0"/>
          <w:szCs w:val="32"/>
        </w:rPr>
        <w:t>联系人：周宜</w:t>
      </w:r>
    </w:p>
    <w:p>
      <w:pPr>
        <w:spacing w:line="560" w:lineRule="exact"/>
        <w:ind w:firstLine="796" w:firstLineChars="249"/>
        <w:rPr>
          <w:rFonts w:ascii="仿宋_GB2312" w:cs="仿宋_GB2312"/>
          <w:kern w:val="0"/>
          <w:szCs w:val="32"/>
        </w:rPr>
      </w:pPr>
      <w:r>
        <w:rPr>
          <w:rFonts w:hint="eastAsia" w:ascii="仿宋_GB2312" w:cs="仿宋_GB2312"/>
          <w:kern w:val="0"/>
          <w:szCs w:val="32"/>
        </w:rPr>
        <w:t>联系电话：</w:t>
      </w:r>
      <w:r>
        <w:rPr>
          <w:rFonts w:ascii="仿宋_GB2312" w:cs="仿宋_GB2312"/>
          <w:kern w:val="0"/>
          <w:szCs w:val="32"/>
        </w:rPr>
        <w:t xml:space="preserve"> </w:t>
      </w:r>
      <w:r>
        <w:rPr>
          <w:rFonts w:hint="eastAsia" w:ascii="仿宋_GB2312" w:cs="仿宋_GB2312"/>
          <w:kern w:val="0"/>
          <w:szCs w:val="32"/>
        </w:rPr>
        <w:t>88113890</w:t>
      </w:r>
    </w:p>
    <w:p>
      <w:pPr>
        <w:spacing w:line="560" w:lineRule="exact"/>
        <w:ind w:firstLine="796" w:firstLineChars="249"/>
        <w:rPr>
          <w:rFonts w:ascii="仿宋_GB2312" w:cs="仿宋_GB2312"/>
          <w:kern w:val="0"/>
          <w:szCs w:val="32"/>
        </w:rPr>
      </w:pPr>
      <w:r>
        <w:rPr>
          <w:rFonts w:hint="eastAsia" w:ascii="仿宋_GB2312" w:cs="仿宋_GB2312"/>
          <w:kern w:val="0"/>
          <w:szCs w:val="32"/>
        </w:rPr>
        <w:t>邮箱：</w:t>
      </w:r>
      <w:r>
        <w:rPr>
          <w:rFonts w:ascii="仿宋_GB2312" w:cs="仿宋_GB2312"/>
          <w:kern w:val="0"/>
          <w:szCs w:val="32"/>
        </w:rPr>
        <w:t>szwrwjkc@163.com</w:t>
      </w:r>
    </w:p>
    <w:p>
      <w:pPr>
        <w:spacing w:line="560" w:lineRule="exact"/>
        <w:ind w:firstLine="640" w:firstLineChars="200"/>
        <w:rPr>
          <w:rFonts w:ascii="楷体" w:hAnsi="楷体" w:eastAsia="楷体"/>
          <w:szCs w:val="32"/>
        </w:rPr>
      </w:pPr>
      <w:r>
        <w:rPr>
          <w:rFonts w:hint="eastAsia" w:ascii="仿宋_GB2312" w:cs="仿宋_GB2312"/>
          <w:kern w:val="0"/>
          <w:szCs w:val="32"/>
        </w:rPr>
        <w:t>（二）</w:t>
      </w:r>
      <w:r>
        <w:rPr>
          <w:rFonts w:hint="eastAsia" w:ascii="楷体" w:hAnsi="楷体" w:eastAsia="楷体" w:cs="楷体"/>
          <w:szCs w:val="32"/>
        </w:rPr>
        <w:t>市卫生监督局。</w:t>
      </w:r>
    </w:p>
    <w:p>
      <w:pPr>
        <w:spacing w:line="560" w:lineRule="exact"/>
        <w:ind w:firstLine="796" w:firstLineChars="249"/>
        <w:rPr>
          <w:rFonts w:hint="eastAsia" w:ascii="仿宋_GB2312" w:hAnsi="宋体" w:eastAsia="仿宋_GB2312"/>
          <w:szCs w:val="32"/>
          <w:lang w:eastAsia="zh-CN"/>
        </w:rPr>
      </w:pPr>
      <w:r>
        <w:rPr>
          <w:rFonts w:hint="eastAsia" w:ascii="仿宋_GB2312" w:hAnsi="宋体" w:cs="仿宋_GB2312"/>
          <w:szCs w:val="32"/>
        </w:rPr>
        <w:t>联系人：</w:t>
      </w:r>
      <w:r>
        <w:rPr>
          <w:rFonts w:hint="eastAsia" w:ascii="仿宋_GB2312" w:hAnsi="宋体" w:cs="仿宋_GB2312"/>
          <w:szCs w:val="32"/>
          <w:lang w:eastAsia="zh-CN"/>
        </w:rPr>
        <w:t>胡文敏</w:t>
      </w:r>
    </w:p>
    <w:p>
      <w:pPr>
        <w:spacing w:line="560" w:lineRule="exact"/>
        <w:ind w:firstLine="796" w:firstLineChars="249"/>
        <w:rPr>
          <w:rFonts w:hint="default" w:ascii="仿宋_GB2312" w:eastAsia="仿宋_GB2312" w:cs="仿宋_GB2312"/>
          <w:kern w:val="0"/>
          <w:szCs w:val="32"/>
          <w:lang w:val="en-US" w:eastAsia="zh-CN"/>
        </w:rPr>
      </w:pPr>
      <w:r>
        <w:rPr>
          <w:rFonts w:hint="eastAsia" w:cs="仿宋_GB2312"/>
          <w:szCs w:val="32"/>
        </w:rPr>
        <w:t>联系电话：</w:t>
      </w:r>
      <w:r>
        <w:rPr>
          <w:rFonts w:hint="eastAsia" w:ascii="仿宋_GB2312" w:hAnsi="宋体" w:cs="仿宋_GB2312"/>
          <w:szCs w:val="32"/>
        </w:rPr>
        <w:t>88113</w:t>
      </w:r>
      <w:r>
        <w:rPr>
          <w:rFonts w:hint="eastAsia" w:ascii="仿宋_GB2312" w:cs="仿宋_GB2312"/>
          <w:kern w:val="0"/>
          <w:szCs w:val="32"/>
        </w:rPr>
        <w:t>5</w:t>
      </w:r>
      <w:r>
        <w:rPr>
          <w:rFonts w:hint="eastAsia" w:ascii="仿宋_GB2312" w:cs="仿宋_GB2312"/>
          <w:kern w:val="0"/>
          <w:szCs w:val="32"/>
          <w:lang w:val="en-US" w:eastAsia="zh-CN"/>
        </w:rPr>
        <w:t>72</w:t>
      </w:r>
    </w:p>
    <w:p>
      <w:pPr>
        <w:spacing w:line="560" w:lineRule="exact"/>
        <w:ind w:firstLine="796" w:firstLineChars="249"/>
        <w:rPr>
          <w:rFonts w:ascii="仿宋_GB2312" w:cs="仿宋_GB2312"/>
          <w:kern w:val="0"/>
          <w:szCs w:val="32"/>
        </w:rPr>
      </w:pPr>
      <w:r>
        <w:rPr>
          <w:rFonts w:hint="eastAsia" w:ascii="仿宋_GB2312" w:cs="仿宋_GB2312"/>
          <w:kern w:val="0"/>
          <w:szCs w:val="32"/>
        </w:rPr>
        <w:t>邮箱：</w:t>
      </w:r>
      <w:r>
        <w:fldChar w:fldCharType="begin"/>
      </w:r>
      <w:r>
        <w:instrText xml:space="preserve"> HYPERLINK "mailto:sjhjwsk@163.com" </w:instrText>
      </w:r>
      <w:r>
        <w:fldChar w:fldCharType="separate"/>
      </w:r>
      <w:r>
        <w:rPr>
          <w:rFonts w:hint="eastAsia"/>
          <w:kern w:val="0"/>
        </w:rPr>
        <w:t>sjxueweike</w:t>
      </w:r>
      <w:r>
        <w:rPr>
          <w:kern w:val="0"/>
        </w:rPr>
        <w:t>@163.com</w:t>
      </w:r>
      <w:r>
        <w:rPr>
          <w:kern w:val="0"/>
        </w:rPr>
        <w:fldChar w:fldCharType="end"/>
      </w:r>
    </w:p>
    <w:p>
      <w:pPr>
        <w:spacing w:line="560" w:lineRule="exact"/>
        <w:ind w:firstLine="640" w:firstLineChars="200"/>
        <w:rPr>
          <w:rFonts w:ascii="楷体" w:hAnsi="楷体" w:eastAsia="楷体" w:cs="楷体"/>
          <w:szCs w:val="32"/>
        </w:rPr>
      </w:pPr>
      <w:r>
        <w:rPr>
          <w:rFonts w:hint="eastAsia" w:ascii="楷体" w:hAnsi="楷体" w:eastAsia="楷体" w:cs="楷体"/>
          <w:szCs w:val="32"/>
        </w:rPr>
        <w:t>（三）市疾病预防控制中心。</w:t>
      </w:r>
    </w:p>
    <w:p>
      <w:pPr>
        <w:pStyle w:val="71"/>
        <w:tabs>
          <w:tab w:val="left" w:pos="-180"/>
          <w:tab w:val="left" w:pos="945"/>
        </w:tabs>
        <w:spacing w:line="560" w:lineRule="exact"/>
        <w:ind w:firstLine="444" w:firstLineChars="139"/>
        <w:rPr>
          <w:rFonts w:ascii="仿宋_GB2312" w:hAnsi="宋体" w:eastAsia="仿宋_GB2312" w:cs="Times New Roman"/>
          <w:color w:val="000000" w:themeColor="text1"/>
          <w:sz w:val="32"/>
          <w:szCs w:val="32"/>
        </w:rPr>
      </w:pPr>
      <w:r>
        <w:rPr>
          <w:rFonts w:ascii="仿宋_GB2312" w:hAnsi="宋体" w:eastAsia="仿宋_GB2312" w:cs="仿宋_GB2312"/>
          <w:sz w:val="32"/>
          <w:szCs w:val="32"/>
        </w:rPr>
        <w:t xml:space="preserve">   联系人：</w:t>
      </w:r>
      <w:r>
        <w:rPr>
          <w:rFonts w:hint="eastAsia" w:ascii="仿宋_GB2312" w:hAnsi="宋体" w:eastAsia="仿宋_GB2312" w:cs="仿宋_GB2312"/>
          <w:color w:val="000000" w:themeColor="text1"/>
          <w:sz w:val="32"/>
          <w:szCs w:val="32"/>
        </w:rPr>
        <w:t>余淑苑</w:t>
      </w:r>
    </w:p>
    <w:p>
      <w:pPr>
        <w:pStyle w:val="71"/>
        <w:tabs>
          <w:tab w:val="left" w:pos="-180"/>
          <w:tab w:val="left" w:pos="945"/>
        </w:tabs>
        <w:spacing w:line="560" w:lineRule="exact"/>
        <w:ind w:firstLine="444" w:firstLineChars="139"/>
        <w:rPr>
          <w:rFonts w:ascii="仿宋_GB2312" w:cs="仿宋_GB2312"/>
          <w:kern w:val="0"/>
          <w:szCs w:val="32"/>
        </w:rPr>
      </w:pPr>
      <w:r>
        <w:rPr>
          <w:rFonts w:ascii="仿宋_GB2312" w:hAnsi="宋体" w:eastAsia="仿宋_GB2312" w:cs="仿宋_GB2312"/>
          <w:color w:val="000000" w:themeColor="text1"/>
          <w:sz w:val="32"/>
          <w:szCs w:val="32"/>
        </w:rPr>
        <w:t xml:space="preserve">   </w:t>
      </w:r>
      <w:r>
        <w:rPr>
          <w:rFonts w:hint="eastAsia" w:eastAsia="仿宋_GB2312" w:cs="仿宋_GB2312"/>
          <w:color w:val="000000" w:themeColor="text1"/>
          <w:sz w:val="32"/>
          <w:szCs w:val="32"/>
        </w:rPr>
        <w:t>联系</w:t>
      </w:r>
      <w:r>
        <w:rPr>
          <w:rFonts w:hint="eastAsia" w:ascii="仿宋_GB2312" w:hAnsi="宋体" w:eastAsia="仿宋_GB2312" w:cs="仿宋_GB2312"/>
          <w:color w:val="000000" w:themeColor="text1"/>
          <w:sz w:val="32"/>
          <w:szCs w:val="32"/>
        </w:rPr>
        <w:t>电话：25637364</w:t>
      </w:r>
    </w:p>
    <w:p>
      <w:pPr>
        <w:widowControl/>
        <w:spacing w:line="600" w:lineRule="exact"/>
        <w:ind w:firstLine="960" w:firstLineChars="300"/>
        <w:rPr>
          <w:rFonts w:hint="eastAsia" w:ascii="仿宋_GB2312" w:hAnsi="宋体" w:eastAsia="仿宋_GB2312" w:cs="仿宋_GB2312"/>
          <w:color w:val="000000" w:themeColor="text1"/>
          <w:sz w:val="32"/>
          <w:szCs w:val="32"/>
        </w:rPr>
      </w:pPr>
      <w:r>
        <w:rPr>
          <w:rFonts w:hint="eastAsia" w:ascii="仿宋_GB2312"/>
          <w:color w:val="000000" w:themeColor="text1"/>
          <w:sz w:val="32"/>
          <w:lang w:eastAsia="zh-CN"/>
        </w:rPr>
        <w:t>联系人：</w:t>
      </w:r>
      <w:r>
        <w:rPr>
          <w:rFonts w:hint="eastAsia" w:ascii="仿宋_GB2312" w:eastAsia="仿宋_GB2312"/>
          <w:color w:val="000000" w:themeColor="text1"/>
          <w:sz w:val="32"/>
        </w:rPr>
        <w:t>何健</w:t>
      </w:r>
      <w:r>
        <w:rPr>
          <w:rFonts w:hint="eastAsia" w:ascii="仿宋_GB2312" w:eastAsia="仿宋_GB2312"/>
          <w:color w:val="000000" w:themeColor="text1"/>
          <w:sz w:val="32"/>
          <w:lang w:eastAsia="zh-CN"/>
        </w:rPr>
        <w:t>凡</w:t>
      </w:r>
    </w:p>
    <w:p>
      <w:pPr>
        <w:widowControl/>
        <w:spacing w:line="600" w:lineRule="exact"/>
        <w:ind w:firstLine="960" w:firstLineChars="300"/>
        <w:rPr>
          <w:rFonts w:ascii="仿宋_GB2312" w:hAnsi="华文仿宋"/>
          <w:kern w:val="0"/>
          <w:szCs w:val="32"/>
        </w:rPr>
      </w:pPr>
      <w:r>
        <w:rPr>
          <w:rFonts w:hint="eastAsia" w:eastAsia="仿宋_GB2312" w:cs="仿宋_GB2312"/>
          <w:color w:val="000000" w:themeColor="text1"/>
          <w:sz w:val="32"/>
          <w:szCs w:val="32"/>
        </w:rPr>
        <w:t>联系</w:t>
      </w:r>
      <w:r>
        <w:rPr>
          <w:rFonts w:hint="eastAsia" w:ascii="仿宋_GB2312" w:hAnsi="宋体" w:eastAsia="仿宋_GB2312" w:cs="仿宋_GB2312"/>
          <w:color w:val="000000" w:themeColor="text1"/>
          <w:sz w:val="32"/>
          <w:szCs w:val="32"/>
        </w:rPr>
        <w:t>电话：</w:t>
      </w:r>
      <w:r>
        <w:rPr>
          <w:rFonts w:hint="eastAsia" w:ascii="仿宋_GB2312" w:eastAsia="仿宋_GB2312"/>
          <w:color w:val="000000" w:themeColor="text1"/>
          <w:sz w:val="32"/>
        </w:rPr>
        <w:t>13823133018</w:t>
      </w:r>
    </w:p>
    <w:p>
      <w:pPr>
        <w:widowControl/>
        <w:spacing w:line="600" w:lineRule="exact"/>
        <w:ind w:left="883" w:hanging="883" w:hangingChars="276"/>
        <w:rPr>
          <w:rFonts w:hint="eastAsia" w:ascii="仿宋_GB2312" w:hAnsi="华文仿宋"/>
          <w:kern w:val="0"/>
          <w:szCs w:val="32"/>
        </w:rPr>
      </w:pPr>
    </w:p>
    <w:p>
      <w:pPr>
        <w:widowControl/>
        <w:spacing w:line="600" w:lineRule="exact"/>
        <w:ind w:left="883" w:hanging="883" w:hangingChars="276"/>
        <w:rPr>
          <w:rFonts w:hint="eastAsia" w:ascii="仿宋_GB2312" w:hAnsi="华文仿宋"/>
          <w:kern w:val="0"/>
          <w:szCs w:val="32"/>
        </w:rPr>
      </w:pPr>
    </w:p>
    <w:p>
      <w:pPr>
        <w:widowControl/>
        <w:spacing w:line="600" w:lineRule="exact"/>
        <w:ind w:left="883" w:hanging="883" w:hangingChars="276"/>
        <w:rPr>
          <w:rFonts w:ascii="仿宋_GB2312" w:hAnsi="华文仿宋"/>
          <w:kern w:val="0"/>
          <w:szCs w:val="32"/>
        </w:rPr>
      </w:pPr>
      <w:bookmarkStart w:id="1" w:name="_GoBack"/>
      <w:bookmarkEnd w:id="1"/>
      <w:r>
        <w:rPr>
          <w:rFonts w:hint="eastAsia" w:ascii="仿宋_GB2312" w:hAnsi="华文仿宋"/>
          <w:kern w:val="0"/>
          <w:szCs w:val="32"/>
        </w:rPr>
        <w:t>附表：</w:t>
      </w:r>
    </w:p>
    <w:p>
      <w:pPr>
        <w:widowControl/>
        <w:spacing w:line="600" w:lineRule="exact"/>
        <w:ind w:firstLine="640" w:firstLineChars="200"/>
        <w:rPr>
          <w:rFonts w:hint="eastAsia" w:ascii="仿宋_GB2312" w:hAnsi="华文仿宋"/>
          <w:kern w:val="0"/>
          <w:szCs w:val="32"/>
        </w:rPr>
      </w:pPr>
      <w:r>
        <w:rPr>
          <w:rFonts w:hint="eastAsia" w:ascii="仿宋_GB2312" w:hAnsi="华文仿宋"/>
          <w:kern w:val="0"/>
          <w:szCs w:val="32"/>
        </w:rPr>
        <w:t>1.</w:t>
      </w:r>
      <w:r>
        <w:rPr>
          <w:rFonts w:hint="eastAsia" w:ascii="仿宋_GB2312" w:hAnsi="华文仿宋"/>
          <w:kern w:val="0"/>
          <w:szCs w:val="32"/>
          <w:lang w:eastAsia="zh-CN"/>
        </w:rPr>
        <w:t>20</w:t>
      </w:r>
      <w:r>
        <w:rPr>
          <w:rFonts w:hint="eastAsia" w:ascii="仿宋_GB2312" w:hAnsi="华文仿宋"/>
          <w:kern w:val="0"/>
          <w:szCs w:val="32"/>
          <w:lang w:val="en-US" w:eastAsia="zh-CN"/>
        </w:rPr>
        <w:t>20</w:t>
      </w:r>
      <w:r>
        <w:rPr>
          <w:rFonts w:hint="eastAsia" w:ascii="仿宋_GB2312" w:hAnsi="华文仿宋"/>
          <w:kern w:val="0"/>
          <w:szCs w:val="32"/>
        </w:rPr>
        <w:t>年学校卫生国家随机监督抽查工作计划表</w:t>
      </w:r>
    </w:p>
    <w:p>
      <w:pPr>
        <w:widowControl/>
        <w:spacing w:line="600" w:lineRule="exact"/>
        <w:ind w:firstLine="640" w:firstLineChars="200"/>
        <w:rPr>
          <w:rFonts w:hint="eastAsia" w:ascii="仿宋_GB2312" w:hAnsi="华文仿宋"/>
          <w:kern w:val="0"/>
          <w:szCs w:val="32"/>
        </w:rPr>
      </w:pPr>
      <w:r>
        <w:rPr>
          <w:rFonts w:hint="eastAsia" w:ascii="仿宋_GB2312" w:hAnsi="华文仿宋"/>
          <w:kern w:val="0"/>
          <w:szCs w:val="32"/>
        </w:rPr>
        <w:t>2.</w:t>
      </w:r>
      <w:r>
        <w:rPr>
          <w:rFonts w:hint="eastAsia" w:ascii="仿宋_GB2312" w:hAnsi="华文仿宋"/>
          <w:kern w:val="0"/>
          <w:szCs w:val="32"/>
          <w:lang w:eastAsia="zh-CN"/>
        </w:rPr>
        <w:t>20</w:t>
      </w:r>
      <w:r>
        <w:rPr>
          <w:rFonts w:hint="eastAsia" w:ascii="仿宋_GB2312" w:hAnsi="华文仿宋"/>
          <w:kern w:val="0"/>
          <w:szCs w:val="32"/>
          <w:lang w:val="en-US" w:eastAsia="zh-CN"/>
        </w:rPr>
        <w:t>20</w:t>
      </w:r>
      <w:r>
        <w:rPr>
          <w:rFonts w:hint="eastAsia" w:ascii="仿宋_GB2312" w:hAnsi="华文仿宋"/>
          <w:kern w:val="0"/>
          <w:szCs w:val="32"/>
        </w:rPr>
        <w:t>年学校卫生综合监督评价及监督协管服务信息汇总表</w:t>
      </w:r>
    </w:p>
    <w:p>
      <w:pPr>
        <w:widowControl/>
        <w:spacing w:line="600" w:lineRule="exact"/>
        <w:ind w:left="883" w:leftChars="200" w:hanging="243" w:hangingChars="76"/>
        <w:rPr>
          <w:rFonts w:hint="eastAsia" w:ascii="仿宋_GB2312" w:hAnsi="华文仿宋"/>
          <w:kern w:val="0"/>
          <w:szCs w:val="32"/>
        </w:rPr>
        <w:sectPr>
          <w:footerReference r:id="rId3" w:type="default"/>
          <w:footerReference r:id="rId4" w:type="even"/>
          <w:pgSz w:w="11906" w:h="16838"/>
          <w:pgMar w:top="1797" w:right="1440" w:bottom="1797" w:left="1440" w:header="851" w:footer="992" w:gutter="0"/>
          <w:cols w:space="720" w:num="1"/>
          <w:docGrid w:linePitch="435" w:charSpace="200"/>
        </w:sectPr>
      </w:pPr>
    </w:p>
    <w:bookmarkEnd w:id="0"/>
    <w:p>
      <w:pPr>
        <w:spacing w:line="320" w:lineRule="exact"/>
        <w:jc w:val="left"/>
        <w:rPr>
          <w:rFonts w:ascii="黑体" w:hAnsi="黑体" w:eastAsia="黑体"/>
          <w:color w:val="auto"/>
          <w:sz w:val="30"/>
          <w:szCs w:val="30"/>
        </w:rPr>
      </w:pPr>
      <w:r>
        <w:rPr>
          <w:rFonts w:hint="eastAsia" w:ascii="黑体" w:hAnsi="黑体" w:eastAsia="黑体"/>
          <w:sz w:val="30"/>
          <w:szCs w:val="30"/>
        </w:rPr>
        <w:t>附表1</w:t>
      </w:r>
    </w:p>
    <w:p>
      <w:pPr>
        <w:spacing w:before="156" w:beforeLines="50"/>
        <w:jc w:val="center"/>
        <w:rPr>
          <w:rFonts w:ascii="黑体" w:hAnsi="黑体" w:eastAsia="黑体"/>
          <w:b/>
          <w:color w:val="auto"/>
          <w:sz w:val="44"/>
          <w:szCs w:val="44"/>
        </w:rPr>
      </w:pPr>
      <w:r>
        <w:rPr>
          <w:rFonts w:hint="eastAsia" w:ascii="宋体" w:hAnsi="宋体"/>
          <w:b/>
          <w:color w:val="auto"/>
          <w:sz w:val="44"/>
          <w:szCs w:val="44"/>
        </w:rPr>
        <w:t>2020年学校卫生</w:t>
      </w:r>
      <w:r>
        <w:rPr>
          <w:rFonts w:hint="eastAsia" w:ascii="宋体" w:hAnsi="宋体"/>
          <w:b/>
          <w:bCs/>
          <w:color w:val="auto"/>
          <w:sz w:val="44"/>
          <w:szCs w:val="44"/>
        </w:rPr>
        <w:t>国家随机监督抽查</w:t>
      </w:r>
      <w:r>
        <w:rPr>
          <w:rFonts w:hint="eastAsia" w:ascii="宋体" w:hAnsi="宋体"/>
          <w:b/>
          <w:color w:val="auto"/>
          <w:sz w:val="44"/>
          <w:szCs w:val="44"/>
        </w:rPr>
        <w:t>工作计划表</w:t>
      </w:r>
    </w:p>
    <w:tbl>
      <w:tblPr>
        <w:tblStyle w:val="16"/>
        <w:tblW w:w="13973"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8"/>
        <w:gridCol w:w="2127"/>
        <w:gridCol w:w="5705"/>
        <w:gridCol w:w="4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708" w:type="dxa"/>
            <w:vAlign w:val="center"/>
          </w:tcPr>
          <w:p>
            <w:pPr>
              <w:jc w:val="center"/>
              <w:rPr>
                <w:color w:val="auto"/>
                <w:sz w:val="21"/>
                <w:szCs w:val="21"/>
              </w:rPr>
            </w:pPr>
            <w:r>
              <w:rPr>
                <w:rFonts w:hint="eastAsia" w:ascii="华文仿宋" w:hAnsi="华文仿宋" w:eastAsia="华文仿宋"/>
                <w:color w:val="auto"/>
                <w:sz w:val="21"/>
                <w:szCs w:val="21"/>
              </w:rPr>
              <w:t>监督检查对象</w:t>
            </w:r>
          </w:p>
        </w:tc>
        <w:tc>
          <w:tcPr>
            <w:tcW w:w="2127" w:type="dxa"/>
            <w:vAlign w:val="center"/>
          </w:tcPr>
          <w:p>
            <w:pPr>
              <w:keepNext/>
              <w:keepLines/>
              <w:widowControl/>
              <w:spacing w:before="93" w:beforeLines="30" w:after="93" w:afterLines="30" w:line="260" w:lineRule="exact"/>
              <w:jc w:val="center"/>
              <w:rPr>
                <w:rFonts w:ascii="华文仿宋" w:hAnsi="华文仿宋" w:eastAsia="华文仿宋"/>
                <w:color w:val="auto"/>
                <w:sz w:val="21"/>
                <w:szCs w:val="21"/>
              </w:rPr>
            </w:pPr>
            <w:r>
              <w:rPr>
                <w:rFonts w:hint="eastAsia" w:ascii="华文仿宋" w:hAnsi="华文仿宋" w:eastAsia="华文仿宋"/>
                <w:color w:val="auto"/>
                <w:sz w:val="21"/>
                <w:szCs w:val="21"/>
              </w:rPr>
              <w:t>范围和数量</w:t>
            </w:r>
          </w:p>
        </w:tc>
        <w:tc>
          <w:tcPr>
            <w:tcW w:w="5705" w:type="dxa"/>
            <w:vAlign w:val="center"/>
          </w:tcPr>
          <w:p>
            <w:pPr>
              <w:keepNext/>
              <w:keepLines/>
              <w:widowControl/>
              <w:spacing w:before="93" w:beforeLines="30" w:after="93" w:afterLines="30" w:line="260" w:lineRule="exact"/>
              <w:jc w:val="center"/>
              <w:rPr>
                <w:rFonts w:ascii="华文仿宋" w:hAnsi="华文仿宋" w:eastAsia="华文仿宋"/>
                <w:color w:val="auto"/>
                <w:sz w:val="21"/>
                <w:szCs w:val="21"/>
              </w:rPr>
            </w:pPr>
            <w:r>
              <w:rPr>
                <w:rFonts w:hint="eastAsia" w:ascii="华文仿宋" w:hAnsi="华文仿宋" w:eastAsia="华文仿宋"/>
                <w:color w:val="auto"/>
                <w:sz w:val="21"/>
                <w:szCs w:val="21"/>
              </w:rPr>
              <w:t>检查内容</w:t>
            </w:r>
          </w:p>
        </w:tc>
        <w:tc>
          <w:tcPr>
            <w:tcW w:w="4433" w:type="dxa"/>
            <w:vAlign w:val="center"/>
          </w:tcPr>
          <w:p>
            <w:pPr>
              <w:keepNext/>
              <w:keepLines/>
              <w:widowControl/>
              <w:spacing w:before="93" w:beforeLines="30" w:after="93" w:afterLines="30" w:line="260" w:lineRule="exact"/>
              <w:jc w:val="center"/>
              <w:rPr>
                <w:rFonts w:ascii="华文仿宋" w:hAnsi="华文仿宋" w:eastAsia="华文仿宋"/>
                <w:color w:val="auto"/>
                <w:sz w:val="21"/>
                <w:szCs w:val="21"/>
              </w:rPr>
            </w:pPr>
            <w:r>
              <w:rPr>
                <w:rFonts w:hint="eastAsia" w:ascii="华文仿宋" w:hAnsi="华文仿宋" w:eastAsia="华文仿宋"/>
                <w:color w:val="auto"/>
                <w:sz w:val="21"/>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4" w:hRule="atLeast"/>
        </w:trPr>
        <w:tc>
          <w:tcPr>
            <w:tcW w:w="1708" w:type="dxa"/>
            <w:vAlign w:val="center"/>
          </w:tcPr>
          <w:p>
            <w:pPr>
              <w:jc w:val="center"/>
              <w:rPr>
                <w:color w:val="auto"/>
                <w:sz w:val="21"/>
                <w:szCs w:val="21"/>
              </w:rPr>
            </w:pPr>
            <w:r>
              <w:rPr>
                <w:rFonts w:hint="eastAsia" w:ascii="华文仿宋" w:hAnsi="华文仿宋" w:eastAsia="华文仿宋"/>
                <w:color w:val="auto"/>
                <w:sz w:val="21"/>
                <w:szCs w:val="21"/>
              </w:rPr>
              <w:t>中小学校及高校</w:t>
            </w:r>
          </w:p>
        </w:tc>
        <w:tc>
          <w:tcPr>
            <w:tcW w:w="2127" w:type="dxa"/>
            <w:vAlign w:val="center"/>
          </w:tcPr>
          <w:p>
            <w:pPr>
              <w:keepNext/>
              <w:keepLines/>
              <w:widowControl/>
              <w:spacing w:before="93" w:beforeLines="30" w:after="93" w:afterLines="30" w:line="260" w:lineRule="exact"/>
              <w:rPr>
                <w:rFonts w:ascii="华文仿宋" w:hAnsi="华文仿宋" w:eastAsia="华文仿宋"/>
                <w:color w:val="auto"/>
                <w:sz w:val="21"/>
                <w:szCs w:val="21"/>
              </w:rPr>
            </w:pPr>
            <w:r>
              <w:rPr>
                <w:rFonts w:hint="eastAsia" w:ascii="华文仿宋" w:hAnsi="华文仿宋" w:eastAsia="华文仿宋"/>
                <w:color w:val="auto"/>
                <w:sz w:val="21"/>
                <w:szCs w:val="21"/>
              </w:rPr>
              <w:t>辖区学校总数的</w:t>
            </w:r>
            <w:r>
              <w:rPr>
                <w:rFonts w:ascii="华文仿宋" w:hAnsi="华文仿宋" w:eastAsia="华文仿宋"/>
                <w:color w:val="auto"/>
                <w:sz w:val="21"/>
                <w:szCs w:val="21"/>
              </w:rPr>
              <w:t>20%</w:t>
            </w:r>
          </w:p>
        </w:tc>
        <w:tc>
          <w:tcPr>
            <w:tcW w:w="5705" w:type="dxa"/>
            <w:vAlign w:val="center"/>
          </w:tcPr>
          <w:p>
            <w:pPr>
              <w:keepNext/>
              <w:keepLines/>
              <w:widowControl/>
              <w:spacing w:before="156" w:beforeLines="50" w:line="240" w:lineRule="exact"/>
              <w:rPr>
                <w:rFonts w:ascii="华文仿宋" w:hAnsi="华文仿宋" w:eastAsia="华文仿宋"/>
                <w:color w:val="auto"/>
                <w:sz w:val="21"/>
                <w:szCs w:val="21"/>
              </w:rPr>
            </w:pPr>
            <w:r>
              <w:rPr>
                <w:rFonts w:ascii="华文仿宋" w:hAnsi="华文仿宋" w:eastAsia="华文仿宋"/>
                <w:color w:val="auto"/>
                <w:sz w:val="21"/>
                <w:szCs w:val="21"/>
              </w:rPr>
              <w:t>1.学校</w:t>
            </w:r>
            <w:r>
              <w:rPr>
                <w:rFonts w:hint="eastAsia" w:ascii="华文仿宋" w:hAnsi="华文仿宋" w:eastAsia="华文仿宋"/>
                <w:color w:val="auto"/>
                <w:sz w:val="21"/>
                <w:szCs w:val="21"/>
              </w:rPr>
              <w:t>落实教学和生活环境卫生要求情况，包括教室课桌椅配备</w:t>
            </w:r>
            <w:r>
              <w:rPr>
                <w:rFonts w:hint="eastAsia" w:ascii="华文仿宋" w:hAnsi="华文仿宋" w:eastAsia="华文仿宋"/>
                <w:color w:val="auto"/>
                <w:sz w:val="21"/>
                <w:szCs w:val="21"/>
                <w:vertAlign w:val="superscript"/>
                <w:lang w:eastAsia="zh-CN"/>
              </w:rPr>
              <w:t>（</w:t>
            </w:r>
            <w:r>
              <w:rPr>
                <w:rFonts w:hint="eastAsia" w:ascii="华文仿宋" w:hAnsi="华文仿宋" w:eastAsia="华文仿宋"/>
                <w:color w:val="auto"/>
                <w:sz w:val="21"/>
                <w:szCs w:val="21"/>
                <w:vertAlign w:val="superscript"/>
              </w:rPr>
              <w:t>a</w:t>
            </w:r>
            <w:r>
              <w:rPr>
                <w:rFonts w:hint="eastAsia" w:ascii="华文仿宋" w:hAnsi="华文仿宋" w:eastAsia="华文仿宋"/>
                <w:color w:val="auto"/>
                <w:sz w:val="21"/>
                <w:szCs w:val="21"/>
                <w:vertAlign w:val="superscript"/>
                <w:lang w:eastAsia="zh-CN"/>
              </w:rPr>
              <w:t>）</w:t>
            </w:r>
            <w:r>
              <w:rPr>
                <w:rFonts w:hint="eastAsia" w:ascii="华文仿宋" w:hAnsi="华文仿宋" w:eastAsia="华文仿宋"/>
                <w:color w:val="auto"/>
                <w:sz w:val="21"/>
                <w:szCs w:val="21"/>
              </w:rPr>
              <w:t>、教室采光和照明</w:t>
            </w:r>
            <w:r>
              <w:rPr>
                <w:rFonts w:hint="eastAsia" w:ascii="华文仿宋" w:hAnsi="华文仿宋" w:eastAsia="华文仿宋"/>
                <w:color w:val="auto"/>
                <w:sz w:val="21"/>
                <w:szCs w:val="21"/>
                <w:vertAlign w:val="superscript"/>
                <w:lang w:eastAsia="zh-CN"/>
              </w:rPr>
              <w:t>（</w:t>
            </w:r>
            <w:r>
              <w:rPr>
                <w:rFonts w:hint="eastAsia" w:ascii="华文仿宋" w:hAnsi="华文仿宋" w:eastAsia="华文仿宋"/>
                <w:color w:val="auto"/>
                <w:sz w:val="21"/>
                <w:szCs w:val="21"/>
                <w:vertAlign w:val="superscript"/>
              </w:rPr>
              <w:t>b</w:t>
            </w:r>
            <w:r>
              <w:rPr>
                <w:rFonts w:hint="eastAsia" w:ascii="华文仿宋" w:hAnsi="华文仿宋" w:eastAsia="华文仿宋"/>
                <w:color w:val="auto"/>
                <w:sz w:val="21"/>
                <w:szCs w:val="21"/>
                <w:vertAlign w:val="superscript"/>
                <w:lang w:eastAsia="zh-CN"/>
              </w:rPr>
              <w:t>）</w:t>
            </w:r>
            <w:r>
              <w:rPr>
                <w:rFonts w:hint="eastAsia" w:ascii="华文仿宋" w:hAnsi="华文仿宋" w:eastAsia="华文仿宋"/>
                <w:color w:val="auto"/>
                <w:sz w:val="21"/>
                <w:szCs w:val="21"/>
              </w:rPr>
              <w:t>、教室人均面积、教室和宿舍通风设施、教学楼厕所及洗手设施设置等情况</w:t>
            </w:r>
          </w:p>
          <w:p>
            <w:pPr>
              <w:keepNext/>
              <w:keepLines/>
              <w:widowControl/>
              <w:spacing w:line="240" w:lineRule="exact"/>
              <w:rPr>
                <w:rFonts w:ascii="华文仿宋" w:hAnsi="华文仿宋" w:eastAsia="华文仿宋"/>
                <w:color w:val="auto"/>
                <w:sz w:val="21"/>
                <w:szCs w:val="21"/>
              </w:rPr>
            </w:pPr>
            <w:r>
              <w:rPr>
                <w:rFonts w:ascii="华文仿宋" w:hAnsi="华文仿宋" w:eastAsia="华文仿宋"/>
                <w:color w:val="auto"/>
                <w:sz w:val="21"/>
                <w:szCs w:val="21"/>
              </w:rPr>
              <w:t>2.</w:t>
            </w:r>
            <w:r>
              <w:rPr>
                <w:rFonts w:hint="eastAsia" w:ascii="华文仿宋" w:hAnsi="华文仿宋" w:eastAsia="华文仿宋"/>
                <w:color w:val="auto"/>
                <w:sz w:val="21"/>
                <w:szCs w:val="21"/>
              </w:rPr>
              <w:t>学校落实传染病和常见病防控要求情况，包括专人负责疫情报告、传染病防控“一案八制”</w:t>
            </w:r>
            <w:r>
              <w:rPr>
                <w:rFonts w:hint="eastAsia" w:ascii="华文仿宋" w:hAnsi="华文仿宋" w:eastAsia="华文仿宋"/>
                <w:color w:val="auto"/>
                <w:sz w:val="21"/>
                <w:szCs w:val="21"/>
                <w:vertAlign w:val="superscript"/>
                <w:lang w:eastAsia="zh-CN"/>
              </w:rPr>
              <w:t>（</w:t>
            </w:r>
            <w:r>
              <w:rPr>
                <w:rFonts w:hint="eastAsia" w:ascii="华文仿宋" w:hAnsi="华文仿宋" w:eastAsia="华文仿宋"/>
                <w:color w:val="auto"/>
                <w:sz w:val="21"/>
                <w:szCs w:val="21"/>
                <w:vertAlign w:val="superscript"/>
              </w:rPr>
              <w:t>c</w:t>
            </w:r>
            <w:r>
              <w:rPr>
                <w:rFonts w:hint="eastAsia" w:ascii="华文仿宋" w:hAnsi="华文仿宋" w:eastAsia="华文仿宋"/>
                <w:color w:val="auto"/>
                <w:sz w:val="21"/>
                <w:szCs w:val="21"/>
                <w:vertAlign w:val="superscript"/>
                <w:lang w:eastAsia="zh-CN"/>
              </w:rPr>
              <w:t>）</w:t>
            </w:r>
            <w:r>
              <w:rPr>
                <w:rFonts w:hint="eastAsia" w:ascii="华文仿宋" w:hAnsi="华文仿宋" w:eastAsia="华文仿宋"/>
                <w:color w:val="auto"/>
                <w:sz w:val="21"/>
                <w:szCs w:val="21"/>
              </w:rPr>
              <w:t>、晨检记录和因病缺勤病因追查与登记记录、复课证明查验、新生入学接种证查验登记、每年按规定实施学生健康体检等情况</w:t>
            </w:r>
          </w:p>
          <w:p>
            <w:pPr>
              <w:keepNext/>
              <w:keepLines/>
              <w:widowControl/>
              <w:spacing w:line="240" w:lineRule="exact"/>
              <w:rPr>
                <w:rFonts w:ascii="华文仿宋" w:hAnsi="华文仿宋" w:eastAsia="华文仿宋"/>
                <w:color w:val="auto"/>
                <w:sz w:val="21"/>
                <w:szCs w:val="21"/>
              </w:rPr>
            </w:pPr>
            <w:r>
              <w:rPr>
                <w:rFonts w:ascii="华文仿宋" w:hAnsi="华文仿宋" w:eastAsia="华文仿宋"/>
                <w:color w:val="auto"/>
                <w:sz w:val="21"/>
                <w:szCs w:val="21"/>
              </w:rPr>
              <w:t>3.</w:t>
            </w:r>
            <w:r>
              <w:rPr>
                <w:rFonts w:hint="eastAsia" w:ascii="华文仿宋" w:hAnsi="华文仿宋" w:eastAsia="华文仿宋"/>
                <w:color w:val="auto"/>
                <w:sz w:val="21"/>
                <w:szCs w:val="21"/>
              </w:rPr>
              <w:t>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156" w:afterLines="50" w:line="240" w:lineRule="exact"/>
              <w:rPr>
                <w:rFonts w:ascii="华文仿宋" w:hAnsi="华文仿宋" w:eastAsia="华文仿宋"/>
                <w:color w:val="auto"/>
                <w:sz w:val="21"/>
                <w:szCs w:val="21"/>
              </w:rPr>
            </w:pPr>
            <w:r>
              <w:rPr>
                <w:rFonts w:ascii="华文仿宋" w:hAnsi="华文仿宋" w:eastAsia="华文仿宋"/>
                <w:color w:val="auto"/>
                <w:sz w:val="21"/>
                <w:szCs w:val="21"/>
              </w:rPr>
              <w:t>4.</w:t>
            </w:r>
            <w:r>
              <w:rPr>
                <w:rFonts w:hint="eastAsia" w:ascii="华文仿宋" w:hAnsi="华文仿宋" w:eastAsia="华文仿宋"/>
                <w:color w:val="auto"/>
                <w:sz w:val="21"/>
                <w:szCs w:val="21"/>
              </w:rPr>
              <w:t>学校</w:t>
            </w:r>
            <w:r>
              <w:rPr>
                <w:rFonts w:ascii="华文仿宋" w:hAnsi="华文仿宋" w:eastAsia="华文仿宋"/>
                <w:color w:val="auto"/>
                <w:sz w:val="21"/>
                <w:szCs w:val="21"/>
              </w:rPr>
              <w:t>纳入卫生监督协管服务情况</w:t>
            </w:r>
          </w:p>
        </w:tc>
        <w:tc>
          <w:tcPr>
            <w:tcW w:w="4433" w:type="dxa"/>
            <w:vAlign w:val="center"/>
          </w:tcPr>
          <w:p>
            <w:pPr>
              <w:keepNext/>
              <w:keepLines/>
              <w:widowControl/>
              <w:spacing w:before="156" w:beforeLines="50" w:line="240" w:lineRule="exact"/>
              <w:rPr>
                <w:rFonts w:ascii="华文仿宋" w:hAnsi="华文仿宋" w:eastAsia="华文仿宋"/>
                <w:color w:val="auto"/>
                <w:sz w:val="21"/>
                <w:szCs w:val="21"/>
              </w:rPr>
            </w:pPr>
            <w:r>
              <w:rPr>
                <w:rFonts w:hint="eastAsia" w:ascii="华文仿宋" w:hAnsi="华文仿宋" w:eastAsia="华文仿宋"/>
                <w:color w:val="auto"/>
                <w:sz w:val="21"/>
                <w:szCs w:val="21"/>
              </w:rPr>
              <w:t>1.教室采光、照明及教室人均面积</w:t>
            </w:r>
          </w:p>
          <w:p>
            <w:pPr>
              <w:keepNext/>
              <w:keepLines/>
              <w:widowControl/>
              <w:spacing w:after="156" w:afterLines="50" w:line="240" w:lineRule="exact"/>
              <w:rPr>
                <w:rFonts w:ascii="华文仿宋" w:hAnsi="华文仿宋" w:eastAsia="华文仿宋"/>
                <w:color w:val="auto"/>
                <w:sz w:val="21"/>
                <w:szCs w:val="21"/>
              </w:rPr>
            </w:pPr>
            <w:r>
              <w:rPr>
                <w:rFonts w:hint="eastAsia" w:ascii="华文仿宋" w:hAnsi="华文仿宋" w:eastAsia="华文仿宋"/>
                <w:color w:val="auto"/>
                <w:sz w:val="21"/>
                <w:szCs w:val="21"/>
              </w:rPr>
              <w:t>2.学校</w:t>
            </w:r>
            <w:r>
              <w:rPr>
                <w:rFonts w:ascii="华文仿宋" w:hAnsi="华文仿宋" w:eastAsia="华文仿宋"/>
                <w:color w:val="auto"/>
                <w:sz w:val="21"/>
                <w:szCs w:val="21"/>
              </w:rPr>
              <w:t>自建设施集中式供水和二次供水水</w:t>
            </w:r>
            <w:r>
              <w:rPr>
                <w:rFonts w:hint="eastAsia" w:ascii="华文仿宋" w:hAnsi="华文仿宋" w:eastAsia="华文仿宋"/>
                <w:color w:val="auto"/>
                <w:sz w:val="21"/>
                <w:szCs w:val="21"/>
              </w:rPr>
              <w:t>质</w:t>
            </w:r>
            <w:r>
              <w:rPr>
                <w:rFonts w:ascii="华文仿宋" w:hAnsi="华文仿宋" w:eastAsia="华文仿宋"/>
                <w:color w:val="auto"/>
                <w:sz w:val="21"/>
                <w:szCs w:val="21"/>
              </w:rPr>
              <w:t>色度、浑浊度、臭和味</w:t>
            </w:r>
            <w:r>
              <w:rPr>
                <w:rFonts w:hint="eastAsia" w:ascii="华文仿宋" w:hAnsi="华文仿宋" w:eastAsia="华文仿宋"/>
                <w:color w:val="auto"/>
                <w:sz w:val="21"/>
                <w:szCs w:val="21"/>
              </w:rPr>
              <w:t>、</w:t>
            </w:r>
            <w:r>
              <w:rPr>
                <w:rFonts w:ascii="华文仿宋" w:hAnsi="华文仿宋" w:eastAsia="华文仿宋"/>
                <w:color w:val="auto"/>
                <w:sz w:val="21"/>
                <w:szCs w:val="21"/>
              </w:rPr>
              <w:t>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1708" w:type="dxa"/>
            <w:vAlign w:val="center"/>
          </w:tcPr>
          <w:p>
            <w:pPr>
              <w:jc w:val="center"/>
              <w:rPr>
                <w:rFonts w:hint="eastAsia" w:ascii="华文仿宋" w:hAnsi="华文仿宋" w:eastAsia="华文仿宋"/>
                <w:color w:val="auto"/>
                <w:sz w:val="21"/>
                <w:szCs w:val="21"/>
              </w:rPr>
            </w:pPr>
            <w:r>
              <w:rPr>
                <w:rFonts w:hint="eastAsia" w:ascii="华文仿宋" w:hAnsi="华文仿宋" w:eastAsia="华文仿宋"/>
                <w:color w:val="auto"/>
                <w:sz w:val="21"/>
                <w:szCs w:val="21"/>
              </w:rPr>
              <w:t>中小学校</w:t>
            </w:r>
          </w:p>
        </w:tc>
        <w:tc>
          <w:tcPr>
            <w:tcW w:w="2127" w:type="dxa"/>
            <w:vAlign w:val="center"/>
          </w:tcPr>
          <w:p>
            <w:pPr>
              <w:keepNext/>
              <w:keepLines/>
              <w:widowControl/>
              <w:spacing w:before="156" w:beforeLines="50" w:after="156" w:afterLines="50" w:line="240" w:lineRule="exact"/>
              <w:rPr>
                <w:rFonts w:hint="eastAsia" w:ascii="华文仿宋" w:hAnsi="华文仿宋" w:eastAsia="华文仿宋"/>
                <w:color w:val="auto"/>
                <w:sz w:val="21"/>
                <w:szCs w:val="21"/>
                <w:lang w:eastAsia="zh-CN"/>
              </w:rPr>
            </w:pPr>
            <w:r>
              <w:rPr>
                <w:rFonts w:hint="eastAsia" w:ascii="华文仿宋" w:hAnsi="华文仿宋" w:eastAsia="华文仿宋"/>
                <w:color w:val="auto"/>
                <w:sz w:val="21"/>
                <w:szCs w:val="21"/>
              </w:rPr>
              <w:t>2014年以来没有开展过学校卫生综合评价的全部学校</w:t>
            </w:r>
            <w:r>
              <w:rPr>
                <w:rFonts w:hint="eastAsia" w:ascii="华文仿宋" w:hAnsi="华文仿宋" w:eastAsia="华文仿宋"/>
                <w:color w:val="auto"/>
                <w:sz w:val="21"/>
                <w:szCs w:val="21"/>
                <w:vertAlign w:val="superscript"/>
                <w:lang w:eastAsia="zh-CN"/>
              </w:rPr>
              <w:t>（</w:t>
            </w:r>
            <w:r>
              <w:rPr>
                <w:rFonts w:hint="eastAsia" w:ascii="华文仿宋" w:hAnsi="华文仿宋" w:eastAsia="华文仿宋"/>
                <w:color w:val="auto"/>
                <w:sz w:val="21"/>
                <w:szCs w:val="21"/>
                <w:vertAlign w:val="superscript"/>
              </w:rPr>
              <w:t>d</w:t>
            </w:r>
            <w:r>
              <w:rPr>
                <w:rFonts w:hint="eastAsia" w:ascii="华文仿宋" w:hAnsi="华文仿宋" w:eastAsia="华文仿宋"/>
                <w:color w:val="auto"/>
                <w:sz w:val="21"/>
                <w:szCs w:val="21"/>
                <w:vertAlign w:val="superscript"/>
                <w:lang w:eastAsia="zh-CN"/>
              </w:rPr>
              <w:t>）</w:t>
            </w:r>
          </w:p>
        </w:tc>
        <w:tc>
          <w:tcPr>
            <w:tcW w:w="5705" w:type="dxa"/>
            <w:vAlign w:val="center"/>
          </w:tcPr>
          <w:p>
            <w:pPr>
              <w:keepNext/>
              <w:keepLines/>
              <w:widowControl/>
              <w:spacing w:before="156" w:beforeLines="50" w:after="156" w:afterLines="50" w:line="240" w:lineRule="exact"/>
              <w:rPr>
                <w:rFonts w:ascii="华文仿宋" w:hAnsi="华文仿宋" w:eastAsia="华文仿宋"/>
                <w:color w:val="auto"/>
                <w:sz w:val="21"/>
                <w:szCs w:val="21"/>
              </w:rPr>
            </w:pPr>
            <w:r>
              <w:rPr>
                <w:rFonts w:hint="eastAsia" w:ascii="华文仿宋" w:hAnsi="华文仿宋" w:eastAsia="华文仿宋"/>
                <w:color w:val="auto"/>
                <w:sz w:val="21"/>
                <w:szCs w:val="21"/>
              </w:rPr>
              <w:t>检查《学校卫生综合评价》（</w:t>
            </w:r>
            <w:r>
              <w:rPr>
                <w:rFonts w:ascii="华文仿宋" w:hAnsi="华文仿宋" w:eastAsia="华文仿宋"/>
                <w:color w:val="auto"/>
                <w:sz w:val="21"/>
                <w:szCs w:val="21"/>
              </w:rPr>
              <w:t>GB/T18205）所列学校传染病防控、常见病与多发病防治、生活饮用水、教室和生活环境、公共场所及突发公共卫生事件卫生管理等方面情况。</w:t>
            </w:r>
          </w:p>
        </w:tc>
        <w:tc>
          <w:tcPr>
            <w:tcW w:w="4433" w:type="dxa"/>
            <w:vAlign w:val="center"/>
          </w:tcPr>
          <w:p>
            <w:pPr>
              <w:keepNext/>
              <w:keepLines/>
              <w:widowControl/>
              <w:spacing w:before="93" w:beforeLines="30" w:after="93" w:afterLines="30" w:line="260" w:lineRule="exact"/>
              <w:rPr>
                <w:rFonts w:hint="eastAsia" w:ascii="华文仿宋" w:hAnsi="华文仿宋" w:eastAsia="华文仿宋"/>
                <w:color w:val="auto"/>
                <w:sz w:val="21"/>
                <w:szCs w:val="21"/>
              </w:rPr>
            </w:pPr>
            <w:r>
              <w:rPr>
                <w:rFonts w:hint="eastAsia" w:ascii="华文仿宋" w:hAnsi="华文仿宋" w:eastAsia="华文仿宋"/>
                <w:color w:val="auto"/>
                <w:sz w:val="21"/>
                <w:szCs w:val="21"/>
              </w:rPr>
              <w:t>----</w:t>
            </w:r>
          </w:p>
        </w:tc>
      </w:tr>
    </w:tbl>
    <w:p>
      <w:pPr>
        <w:pStyle w:val="65"/>
        <w:snapToGrid w:val="0"/>
        <w:spacing w:before="156" w:beforeLines="50" w:line="240" w:lineRule="exact"/>
        <w:ind w:left="0" w:leftChars="0" w:firstLine="0" w:firstLineChars="0"/>
        <w:jc w:val="left"/>
        <w:rPr>
          <w:rFonts w:hint="eastAsia" w:ascii="华文仿宋" w:hAnsi="华文仿宋" w:eastAsia="华文仿宋"/>
          <w:color w:val="auto"/>
          <w:szCs w:val="21"/>
        </w:rPr>
      </w:pPr>
      <w:r>
        <w:rPr>
          <w:rFonts w:hint="default" w:ascii="华文仿宋" w:hAnsi="华文仿宋" w:eastAsia="华文仿宋"/>
          <w:color w:val="auto"/>
          <w:szCs w:val="21"/>
        </w:rPr>
        <w:t xml:space="preserve">    </w:t>
      </w:r>
      <w:r>
        <w:rPr>
          <w:rFonts w:hint="eastAsia" w:ascii="华文仿宋" w:hAnsi="华文仿宋" w:eastAsia="华文仿宋"/>
          <w:color w:val="auto"/>
          <w:szCs w:val="21"/>
        </w:rPr>
        <w:t>a.指每间教室至少设有2种不同高低型号的课桌椅，且每人一席。</w:t>
      </w:r>
    </w:p>
    <w:p>
      <w:pPr>
        <w:pStyle w:val="65"/>
        <w:snapToGrid w:val="0"/>
        <w:spacing w:line="240" w:lineRule="exact"/>
        <w:ind w:left="640" w:leftChars="200" w:firstLine="0" w:firstLineChars="0"/>
        <w:jc w:val="left"/>
        <w:rPr>
          <w:rFonts w:hint="eastAsia" w:ascii="华文仿宋" w:hAnsi="华文仿宋" w:eastAsia="华文仿宋"/>
          <w:color w:val="auto"/>
          <w:szCs w:val="21"/>
        </w:rPr>
      </w:pPr>
      <w:r>
        <w:rPr>
          <w:rFonts w:hint="eastAsia" w:ascii="华文仿宋" w:hAnsi="华文仿宋" w:eastAsia="华文仿宋"/>
          <w:color w:val="auto"/>
          <w:szCs w:val="21"/>
        </w:rPr>
        <w:t>b.教室采光和照明检查项目含窗地面积比、采光方向、防眩光措施、装设人工照明、黑板局部照明灯设置、课桌面照度及均匀度、黑板照度及均匀度，按照</w:t>
      </w:r>
      <w:r>
        <w:rPr>
          <w:rFonts w:hint="eastAsia" w:ascii="华文仿宋" w:hAnsi="华文仿宋" w:eastAsia="华文仿宋" w:cs="仿宋_GB2312"/>
          <w:bCs/>
          <w:color w:val="auto"/>
          <w:kern w:val="0"/>
          <w:szCs w:val="21"/>
        </w:rPr>
        <w:t>《中小学校教室采光和照明卫生标准》（GB7793）的规定进行达标判定</w:t>
      </w:r>
      <w:r>
        <w:rPr>
          <w:rFonts w:hint="eastAsia" w:ascii="华文仿宋" w:hAnsi="华文仿宋" w:eastAsia="华文仿宋"/>
          <w:color w:val="auto"/>
          <w:szCs w:val="21"/>
        </w:rPr>
        <w:t>。</w:t>
      </w:r>
    </w:p>
    <w:p>
      <w:pPr>
        <w:pStyle w:val="65"/>
        <w:snapToGrid w:val="0"/>
        <w:spacing w:line="240" w:lineRule="exact"/>
        <w:ind w:left="0" w:leftChars="0" w:firstLine="420" w:firstLineChars="0"/>
        <w:jc w:val="left"/>
        <w:rPr>
          <w:rFonts w:hint="eastAsia" w:ascii="华文仿宋" w:hAnsi="华文仿宋" w:eastAsia="华文仿宋"/>
          <w:color w:val="auto"/>
          <w:szCs w:val="21"/>
        </w:rPr>
      </w:pPr>
      <w:r>
        <w:rPr>
          <w:rFonts w:hint="eastAsia" w:ascii="华文仿宋" w:hAnsi="华文仿宋" w:eastAsia="华文仿宋"/>
          <w:color w:val="auto"/>
          <w:szCs w:val="21"/>
        </w:rPr>
        <w:t>c.指《中小学校传染病预防控制工作管理规范》（GB28932）第4.8条规定的传染病预防控制应急预案和相关制度。</w:t>
      </w:r>
    </w:p>
    <w:p>
      <w:pPr>
        <w:pStyle w:val="65"/>
        <w:snapToGrid w:val="0"/>
        <w:spacing w:line="240" w:lineRule="exact"/>
        <w:ind w:left="0" w:leftChars="0" w:firstLine="420" w:firstLineChars="0"/>
        <w:jc w:val="left"/>
        <w:rPr>
          <w:rFonts w:hint="eastAsia" w:ascii="华文仿宋" w:hAnsi="华文仿宋" w:eastAsia="华文仿宋"/>
          <w:color w:val="auto"/>
          <w:szCs w:val="21"/>
        </w:rPr>
      </w:pPr>
      <w:r>
        <w:rPr>
          <w:rFonts w:hint="eastAsia" w:ascii="华文仿宋" w:hAnsi="华文仿宋" w:eastAsia="华文仿宋"/>
          <w:color w:val="auto"/>
          <w:szCs w:val="21"/>
        </w:rPr>
        <w:t>d.学校卫生综合评价工作的范围和数量不纳入双随机抽查机制，各地根据当地实际确定学校。</w:t>
      </w:r>
    </w:p>
    <w:p>
      <w:pPr>
        <w:jc w:val="left"/>
        <w:rPr>
          <w:rFonts w:ascii="仿宋_GB2312" w:hAnsi="Calibri"/>
          <w:sz w:val="24"/>
          <w:szCs w:val="22"/>
        </w:rPr>
      </w:pPr>
    </w:p>
    <w:p>
      <w:pPr>
        <w:jc w:val="left"/>
        <w:rPr>
          <w:rFonts w:ascii="仿宋_GB2312" w:hAnsi="Calibri"/>
          <w:sz w:val="24"/>
          <w:szCs w:val="22"/>
        </w:rPr>
      </w:pPr>
    </w:p>
    <w:p>
      <w:pPr>
        <w:jc w:val="left"/>
        <w:rPr>
          <w:rFonts w:ascii="仿宋_GB2312" w:hAnsi="Calibri"/>
          <w:sz w:val="24"/>
          <w:szCs w:val="22"/>
        </w:rPr>
      </w:pPr>
    </w:p>
    <w:p>
      <w:pPr>
        <w:jc w:val="left"/>
        <w:rPr>
          <w:rFonts w:ascii="仿宋_GB2312" w:hAnsi="Calibri"/>
          <w:sz w:val="24"/>
          <w:szCs w:val="22"/>
        </w:rPr>
      </w:pPr>
    </w:p>
    <w:p>
      <w:pPr>
        <w:keepNext w:val="0"/>
        <w:keepLines w:val="0"/>
        <w:pageBreakBefore w:val="0"/>
        <w:widowControl w:val="0"/>
        <w:kinsoku/>
        <w:wordWrap/>
        <w:overflowPunct/>
        <w:topLinePunct w:val="0"/>
        <w:autoSpaceDE/>
        <w:autoSpaceDN/>
        <w:bidi w:val="0"/>
        <w:adjustRightInd/>
        <w:snapToGrid w:val="0"/>
        <w:spacing w:after="156" w:afterLines="50"/>
        <w:textAlignment w:val="auto"/>
        <w:outlineLvl w:val="9"/>
        <w:rPr>
          <w:rFonts w:hint="eastAsia" w:ascii="黑体" w:hAnsi="黑体" w:eastAsia="黑体"/>
          <w:color w:val="auto"/>
          <w:sz w:val="30"/>
          <w:szCs w:val="30"/>
          <w:lang w:val="en-US" w:eastAsia="zh-CN"/>
        </w:rPr>
      </w:pPr>
      <w:r>
        <w:rPr>
          <w:rFonts w:hint="eastAsia" w:ascii="黑体" w:hAnsi="黑体" w:eastAsia="黑体"/>
          <w:color w:val="auto"/>
          <w:sz w:val="30"/>
          <w:szCs w:val="30"/>
        </w:rPr>
        <w:t>附表</w:t>
      </w:r>
      <w:r>
        <w:rPr>
          <w:rFonts w:hint="eastAsia" w:ascii="黑体" w:hAnsi="黑体" w:eastAsia="黑体"/>
          <w:color w:val="auto"/>
          <w:sz w:val="30"/>
          <w:szCs w:val="30"/>
          <w:lang w:val="en-US" w:eastAsia="zh-CN"/>
        </w:rPr>
        <w:t>2</w:t>
      </w:r>
    </w:p>
    <w:p>
      <w:pPr>
        <w:spacing w:before="156" w:beforeLines="50"/>
        <w:jc w:val="center"/>
        <w:rPr>
          <w:rFonts w:ascii="黑体" w:hAnsi="宋体" w:eastAsia="黑体"/>
          <w:color w:val="auto"/>
          <w:szCs w:val="21"/>
        </w:rPr>
      </w:pPr>
      <w:r>
        <w:rPr>
          <w:rFonts w:hint="eastAsia" w:ascii="宋体" w:hAnsi="宋体"/>
          <w:b/>
          <w:color w:val="auto"/>
          <w:sz w:val="44"/>
          <w:szCs w:val="44"/>
        </w:rPr>
        <w:t>2020年学校卫生综合监督评价及监督协管服务信息汇总表</w:t>
      </w:r>
    </w:p>
    <w:tbl>
      <w:tblPr>
        <w:tblStyle w:val="16"/>
        <w:tblW w:w="13945" w:type="dxa"/>
        <w:jc w:val="center"/>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077"/>
        <w:gridCol w:w="2827"/>
        <w:gridCol w:w="1776"/>
        <w:gridCol w:w="1776"/>
        <w:gridCol w:w="1776"/>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937" w:type="dxa"/>
            <w:vMerge w:val="restart"/>
            <w:vAlign w:val="center"/>
          </w:tcPr>
          <w:p>
            <w:pPr>
              <w:spacing w:line="240" w:lineRule="exact"/>
              <w:jc w:val="center"/>
              <w:rPr>
                <w:rFonts w:hint="eastAsia" w:ascii="华文仿宋" w:hAnsi="华文仿宋" w:eastAsia="华文仿宋" w:cs="仿宋_GB2312"/>
                <w:color w:val="auto"/>
                <w:szCs w:val="21"/>
              </w:rPr>
            </w:pPr>
            <w:r>
              <w:rPr>
                <w:rFonts w:hint="eastAsia" w:ascii="华文仿宋" w:hAnsi="华文仿宋" w:eastAsia="华文仿宋" w:cs="仿宋_GB2312"/>
                <w:color w:val="auto"/>
                <w:szCs w:val="21"/>
              </w:rPr>
              <w:t>辖区中小学校总数</w:t>
            </w:r>
          </w:p>
        </w:tc>
        <w:tc>
          <w:tcPr>
            <w:tcW w:w="2077" w:type="dxa"/>
            <w:vMerge w:val="restart"/>
            <w:vAlign w:val="center"/>
          </w:tcPr>
          <w:p>
            <w:pPr>
              <w:spacing w:line="240" w:lineRule="exact"/>
              <w:jc w:val="center"/>
              <w:rPr>
                <w:rFonts w:hint="eastAsia" w:ascii="华文仿宋" w:hAnsi="华文仿宋" w:eastAsia="华文仿宋" w:cs="仿宋_GB2312"/>
                <w:color w:val="auto"/>
                <w:szCs w:val="21"/>
              </w:rPr>
            </w:pPr>
            <w:r>
              <w:rPr>
                <w:rFonts w:hint="eastAsia" w:ascii="华文仿宋" w:hAnsi="华文仿宋" w:eastAsia="华文仿宋" w:cs="仿宋_GB2312"/>
                <w:color w:val="auto"/>
                <w:szCs w:val="21"/>
              </w:rPr>
              <w:t>纳入卫生监督协管服务学校数</w:t>
            </w:r>
          </w:p>
        </w:tc>
        <w:tc>
          <w:tcPr>
            <w:tcW w:w="2827" w:type="dxa"/>
            <w:vMerge w:val="restart"/>
            <w:vAlign w:val="center"/>
          </w:tcPr>
          <w:p>
            <w:pPr>
              <w:spacing w:line="240" w:lineRule="exact"/>
              <w:jc w:val="center"/>
              <w:rPr>
                <w:rFonts w:hint="eastAsia" w:ascii="华文仿宋" w:hAnsi="华文仿宋" w:eastAsia="华文仿宋" w:cs="仿宋_GB2312"/>
                <w:color w:val="auto"/>
                <w:szCs w:val="21"/>
                <w:lang w:eastAsia="zh-CN"/>
              </w:rPr>
            </w:pPr>
            <w:r>
              <w:rPr>
                <w:rFonts w:hint="eastAsia" w:ascii="华文仿宋" w:hAnsi="华文仿宋" w:eastAsia="华文仿宋" w:cs="仿宋_GB2312"/>
                <w:color w:val="auto"/>
                <w:szCs w:val="21"/>
              </w:rPr>
              <w:t>2014年以来已开展过学校卫生综合评价的中小学校数</w:t>
            </w:r>
            <w:r>
              <w:rPr>
                <w:rFonts w:hint="eastAsia" w:ascii="华文仿宋" w:hAnsi="华文仿宋" w:eastAsia="华文仿宋" w:cs="仿宋_GB2312"/>
                <w:color w:val="auto"/>
                <w:szCs w:val="21"/>
                <w:vertAlign w:val="superscript"/>
                <w:lang w:eastAsia="zh-CN"/>
              </w:rPr>
              <w:t>（</w:t>
            </w:r>
            <w:r>
              <w:rPr>
                <w:rFonts w:hint="eastAsia" w:ascii="华文仿宋" w:hAnsi="华文仿宋" w:eastAsia="华文仿宋" w:cs="仿宋_GB2312"/>
                <w:color w:val="auto"/>
                <w:szCs w:val="21"/>
                <w:vertAlign w:val="superscript"/>
              </w:rPr>
              <w:t>a</w:t>
            </w:r>
            <w:r>
              <w:rPr>
                <w:rFonts w:hint="eastAsia" w:ascii="华文仿宋" w:hAnsi="华文仿宋" w:eastAsia="华文仿宋" w:cs="仿宋_GB2312"/>
                <w:color w:val="auto"/>
                <w:szCs w:val="21"/>
                <w:vertAlign w:val="superscript"/>
                <w:lang w:eastAsia="zh-CN"/>
              </w:rPr>
              <w:t>）</w:t>
            </w:r>
          </w:p>
        </w:tc>
        <w:tc>
          <w:tcPr>
            <w:tcW w:w="7104" w:type="dxa"/>
            <w:gridSpan w:val="4"/>
            <w:vAlign w:val="center"/>
          </w:tcPr>
          <w:p>
            <w:pPr>
              <w:spacing w:line="240" w:lineRule="exact"/>
              <w:jc w:val="center"/>
              <w:rPr>
                <w:rFonts w:hint="eastAsia" w:ascii="华文仿宋" w:hAnsi="华文仿宋" w:eastAsia="华文仿宋" w:cs="仿宋_GB2312"/>
                <w:color w:val="auto"/>
                <w:szCs w:val="21"/>
                <w:lang w:eastAsia="zh-CN"/>
              </w:rPr>
            </w:pPr>
            <w:r>
              <w:rPr>
                <w:rFonts w:hint="eastAsia" w:ascii="华文仿宋" w:hAnsi="华文仿宋" w:eastAsia="华文仿宋" w:cs="仿宋_GB2312"/>
                <w:color w:val="auto"/>
                <w:szCs w:val="21"/>
              </w:rPr>
              <w:t>综合评价结果</w:t>
            </w:r>
            <w:r>
              <w:rPr>
                <w:rFonts w:hint="eastAsia" w:ascii="华文仿宋" w:hAnsi="华文仿宋" w:eastAsia="华文仿宋" w:cs="仿宋_GB2312"/>
                <w:color w:val="auto"/>
                <w:szCs w:val="21"/>
                <w:vertAlign w:val="superscript"/>
                <w:lang w:eastAsia="zh-CN"/>
              </w:rPr>
              <w:t>（</w:t>
            </w:r>
            <w:r>
              <w:rPr>
                <w:rFonts w:hint="eastAsia" w:ascii="华文仿宋" w:hAnsi="华文仿宋" w:eastAsia="华文仿宋" w:cs="仿宋_GB2312"/>
                <w:color w:val="auto"/>
                <w:szCs w:val="21"/>
                <w:vertAlign w:val="superscript"/>
              </w:rPr>
              <w:t>b</w:t>
            </w:r>
            <w:r>
              <w:rPr>
                <w:rFonts w:hint="eastAsia" w:ascii="华文仿宋" w:hAnsi="华文仿宋" w:eastAsia="华文仿宋" w:cs="仿宋_GB2312"/>
                <w:color w:val="auto"/>
                <w:szCs w:val="21"/>
                <w:vertAlign w:val="superscript"/>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1937" w:type="dxa"/>
            <w:vMerge w:val="continue"/>
            <w:vAlign w:val="center"/>
          </w:tcPr>
          <w:p>
            <w:pPr>
              <w:spacing w:line="240" w:lineRule="exact"/>
              <w:jc w:val="center"/>
              <w:rPr>
                <w:rFonts w:ascii="华文仿宋" w:hAnsi="华文仿宋" w:eastAsia="华文仿宋" w:cs="仿宋_GB2312"/>
                <w:color w:val="auto"/>
                <w:szCs w:val="21"/>
              </w:rPr>
            </w:pPr>
          </w:p>
        </w:tc>
        <w:tc>
          <w:tcPr>
            <w:tcW w:w="2077" w:type="dxa"/>
            <w:vMerge w:val="continue"/>
            <w:vAlign w:val="top"/>
          </w:tcPr>
          <w:p>
            <w:pPr>
              <w:spacing w:line="240" w:lineRule="exact"/>
              <w:jc w:val="center"/>
              <w:rPr>
                <w:rFonts w:ascii="华文仿宋" w:hAnsi="华文仿宋" w:eastAsia="华文仿宋" w:cs="仿宋_GB2312"/>
                <w:color w:val="auto"/>
                <w:szCs w:val="21"/>
              </w:rPr>
            </w:pPr>
          </w:p>
        </w:tc>
        <w:tc>
          <w:tcPr>
            <w:tcW w:w="2827" w:type="dxa"/>
            <w:vMerge w:val="continue"/>
            <w:vAlign w:val="center"/>
          </w:tcPr>
          <w:p>
            <w:pPr>
              <w:spacing w:line="240" w:lineRule="exact"/>
              <w:jc w:val="center"/>
              <w:rPr>
                <w:rFonts w:ascii="华文仿宋" w:hAnsi="华文仿宋" w:eastAsia="华文仿宋" w:cs="仿宋_GB2312"/>
                <w:color w:val="auto"/>
                <w:szCs w:val="21"/>
              </w:rPr>
            </w:pPr>
          </w:p>
        </w:tc>
        <w:tc>
          <w:tcPr>
            <w:tcW w:w="1776" w:type="dxa"/>
            <w:vAlign w:val="center"/>
          </w:tcPr>
          <w:p>
            <w:pPr>
              <w:spacing w:line="240" w:lineRule="exact"/>
              <w:jc w:val="center"/>
              <w:rPr>
                <w:rFonts w:hint="eastAsia" w:ascii="华文仿宋" w:hAnsi="华文仿宋" w:eastAsia="华文仿宋" w:cs="仿宋_GB2312"/>
                <w:color w:val="auto"/>
                <w:szCs w:val="21"/>
              </w:rPr>
            </w:pPr>
            <w:r>
              <w:rPr>
                <w:rFonts w:hint="eastAsia" w:ascii="华文仿宋" w:hAnsi="华文仿宋" w:eastAsia="华文仿宋" w:cs="仿宋_GB2312"/>
                <w:color w:val="auto"/>
                <w:szCs w:val="21"/>
              </w:rPr>
              <w:t>评价学校数</w:t>
            </w:r>
          </w:p>
        </w:tc>
        <w:tc>
          <w:tcPr>
            <w:tcW w:w="1776" w:type="dxa"/>
            <w:vAlign w:val="center"/>
          </w:tcPr>
          <w:p>
            <w:pPr>
              <w:spacing w:line="240" w:lineRule="exact"/>
              <w:jc w:val="center"/>
              <w:rPr>
                <w:rFonts w:hint="eastAsia" w:ascii="华文仿宋" w:hAnsi="华文仿宋" w:eastAsia="华文仿宋" w:cs="仿宋_GB2312"/>
                <w:color w:val="auto"/>
                <w:szCs w:val="21"/>
              </w:rPr>
            </w:pPr>
            <w:r>
              <w:rPr>
                <w:rFonts w:hint="eastAsia" w:ascii="华文仿宋" w:hAnsi="华文仿宋" w:eastAsia="华文仿宋" w:cs="仿宋_GB2312"/>
                <w:color w:val="auto"/>
                <w:szCs w:val="21"/>
              </w:rPr>
              <w:t>优秀学校数</w:t>
            </w:r>
          </w:p>
        </w:tc>
        <w:tc>
          <w:tcPr>
            <w:tcW w:w="1776" w:type="dxa"/>
            <w:vAlign w:val="center"/>
          </w:tcPr>
          <w:p>
            <w:pPr>
              <w:spacing w:line="240" w:lineRule="exact"/>
              <w:jc w:val="center"/>
              <w:rPr>
                <w:rFonts w:hint="eastAsia" w:ascii="华文仿宋" w:hAnsi="华文仿宋" w:eastAsia="华文仿宋" w:cs="仿宋_GB2312"/>
                <w:color w:val="auto"/>
                <w:szCs w:val="21"/>
              </w:rPr>
            </w:pPr>
            <w:r>
              <w:rPr>
                <w:rFonts w:hint="eastAsia" w:ascii="华文仿宋" w:hAnsi="华文仿宋" w:eastAsia="华文仿宋" w:cs="仿宋_GB2312"/>
                <w:color w:val="auto"/>
                <w:szCs w:val="21"/>
              </w:rPr>
              <w:t>合格学校数</w:t>
            </w:r>
          </w:p>
        </w:tc>
        <w:tc>
          <w:tcPr>
            <w:tcW w:w="1776" w:type="dxa"/>
            <w:vAlign w:val="center"/>
          </w:tcPr>
          <w:p>
            <w:pPr>
              <w:spacing w:line="240" w:lineRule="exact"/>
              <w:jc w:val="center"/>
              <w:rPr>
                <w:rFonts w:hint="eastAsia" w:ascii="华文仿宋" w:hAnsi="华文仿宋" w:eastAsia="华文仿宋" w:cs="仿宋_GB2312"/>
                <w:color w:val="auto"/>
                <w:szCs w:val="21"/>
              </w:rPr>
            </w:pPr>
            <w:r>
              <w:rPr>
                <w:rFonts w:hint="eastAsia" w:ascii="华文仿宋" w:hAnsi="华文仿宋" w:eastAsia="华文仿宋" w:cs="仿宋_GB2312"/>
                <w:color w:val="auto"/>
                <w:szCs w:val="21"/>
              </w:rPr>
              <w:t>不合格学校数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937" w:type="dxa"/>
            <w:vAlign w:val="center"/>
          </w:tcPr>
          <w:p>
            <w:pPr>
              <w:spacing w:line="240" w:lineRule="exact"/>
              <w:jc w:val="center"/>
              <w:rPr>
                <w:rFonts w:ascii="华文仿宋" w:hAnsi="华文仿宋" w:eastAsia="华文仿宋" w:cs="仿宋_GB2312"/>
                <w:color w:val="auto"/>
                <w:szCs w:val="21"/>
              </w:rPr>
            </w:pPr>
          </w:p>
        </w:tc>
        <w:tc>
          <w:tcPr>
            <w:tcW w:w="2077" w:type="dxa"/>
            <w:vAlign w:val="center"/>
          </w:tcPr>
          <w:p>
            <w:pPr>
              <w:spacing w:line="240" w:lineRule="exact"/>
              <w:jc w:val="center"/>
              <w:rPr>
                <w:rFonts w:ascii="华文仿宋" w:hAnsi="华文仿宋" w:eastAsia="华文仿宋" w:cs="仿宋_GB2312"/>
                <w:color w:val="auto"/>
                <w:szCs w:val="21"/>
              </w:rPr>
            </w:pPr>
          </w:p>
        </w:tc>
        <w:tc>
          <w:tcPr>
            <w:tcW w:w="2827" w:type="dxa"/>
            <w:vAlign w:val="center"/>
          </w:tcPr>
          <w:p>
            <w:pPr>
              <w:spacing w:line="240" w:lineRule="exact"/>
              <w:jc w:val="center"/>
              <w:rPr>
                <w:rFonts w:ascii="华文仿宋" w:hAnsi="华文仿宋" w:eastAsia="华文仿宋" w:cs="仿宋_GB2312"/>
                <w:color w:val="auto"/>
                <w:szCs w:val="21"/>
              </w:rPr>
            </w:pPr>
          </w:p>
        </w:tc>
        <w:tc>
          <w:tcPr>
            <w:tcW w:w="1776" w:type="dxa"/>
            <w:vAlign w:val="center"/>
          </w:tcPr>
          <w:p>
            <w:pPr>
              <w:spacing w:line="240" w:lineRule="exact"/>
              <w:jc w:val="center"/>
              <w:rPr>
                <w:rFonts w:ascii="华文仿宋" w:hAnsi="华文仿宋" w:eastAsia="华文仿宋" w:cs="仿宋_GB2312"/>
                <w:color w:val="auto"/>
                <w:szCs w:val="21"/>
              </w:rPr>
            </w:pPr>
          </w:p>
        </w:tc>
        <w:tc>
          <w:tcPr>
            <w:tcW w:w="1776" w:type="dxa"/>
            <w:vAlign w:val="center"/>
          </w:tcPr>
          <w:p>
            <w:pPr>
              <w:spacing w:line="240" w:lineRule="exact"/>
              <w:jc w:val="center"/>
              <w:rPr>
                <w:rFonts w:ascii="华文仿宋" w:hAnsi="华文仿宋" w:eastAsia="华文仿宋" w:cs="仿宋_GB2312"/>
                <w:color w:val="auto"/>
                <w:szCs w:val="21"/>
              </w:rPr>
            </w:pPr>
          </w:p>
        </w:tc>
        <w:tc>
          <w:tcPr>
            <w:tcW w:w="1776" w:type="dxa"/>
            <w:vAlign w:val="center"/>
          </w:tcPr>
          <w:p>
            <w:pPr>
              <w:spacing w:line="240" w:lineRule="exact"/>
              <w:jc w:val="center"/>
              <w:rPr>
                <w:rFonts w:ascii="华文仿宋" w:hAnsi="华文仿宋" w:eastAsia="华文仿宋" w:cs="仿宋_GB2312"/>
                <w:color w:val="auto"/>
                <w:szCs w:val="21"/>
              </w:rPr>
            </w:pPr>
          </w:p>
        </w:tc>
        <w:tc>
          <w:tcPr>
            <w:tcW w:w="1776" w:type="dxa"/>
            <w:vAlign w:val="center"/>
          </w:tcPr>
          <w:p>
            <w:pPr>
              <w:spacing w:line="240" w:lineRule="exact"/>
              <w:jc w:val="center"/>
              <w:rPr>
                <w:rFonts w:ascii="华文仿宋" w:hAnsi="华文仿宋" w:eastAsia="华文仿宋" w:cs="仿宋_GB2312"/>
                <w:color w:val="auto"/>
                <w:szCs w:val="21"/>
              </w:rPr>
            </w:pPr>
          </w:p>
        </w:tc>
      </w:tr>
    </w:tbl>
    <w:p>
      <w:pPr>
        <w:pStyle w:val="65"/>
        <w:numPr>
          <w:ilvl w:val="0"/>
          <w:numId w:val="0"/>
        </w:numPr>
        <w:snapToGrid w:val="0"/>
        <w:spacing w:before="156" w:beforeLines="50" w:line="240" w:lineRule="exact"/>
        <w:ind w:left="420" w:leftChars="0"/>
        <w:jc w:val="left"/>
        <w:rPr>
          <w:rFonts w:hint="eastAsia" w:ascii="华文仿宋" w:hAnsi="华文仿宋" w:eastAsia="华文仿宋"/>
          <w:color w:val="auto"/>
          <w:sz w:val="21"/>
          <w:szCs w:val="21"/>
        </w:rPr>
      </w:pPr>
      <w:r>
        <w:rPr>
          <w:rFonts w:hint="default" w:ascii="华文仿宋" w:hAnsi="华文仿宋" w:eastAsia="华文仿宋"/>
          <w:color w:val="auto"/>
          <w:sz w:val="21"/>
          <w:szCs w:val="21"/>
        </w:rPr>
        <w:t>a.</w:t>
      </w:r>
      <w:r>
        <w:rPr>
          <w:rFonts w:hint="eastAsia" w:ascii="华文仿宋" w:hAnsi="华文仿宋" w:eastAsia="华文仿宋"/>
          <w:color w:val="auto"/>
          <w:sz w:val="21"/>
          <w:szCs w:val="21"/>
        </w:rPr>
        <w:t>指2014年以来本辖区开展过学校卫生综合评价的学校总数，开展过多次评价的学校不重复计入。</w:t>
      </w:r>
    </w:p>
    <w:p>
      <w:pPr>
        <w:pStyle w:val="65"/>
        <w:keepNext w:val="0"/>
        <w:keepLines w:val="0"/>
        <w:pageBreakBefore w:val="0"/>
        <w:widowControl w:val="0"/>
        <w:numPr>
          <w:ilvl w:val="0"/>
          <w:numId w:val="0"/>
        </w:numPr>
        <w:kinsoku/>
        <w:wordWrap/>
        <w:overflowPunct/>
        <w:topLinePunct w:val="0"/>
        <w:autoSpaceDE/>
        <w:autoSpaceDN/>
        <w:bidi w:val="0"/>
        <w:adjustRightInd/>
        <w:snapToGrid w:val="0"/>
        <w:spacing w:line="240" w:lineRule="exact"/>
        <w:ind w:left="420" w:leftChars="0"/>
        <w:jc w:val="left"/>
        <w:textAlignment w:val="auto"/>
        <w:outlineLvl w:val="9"/>
        <w:rPr>
          <w:rFonts w:ascii="华文仿宋" w:hAnsi="华文仿宋" w:eastAsia="华文仿宋"/>
          <w:color w:val="auto"/>
          <w:sz w:val="21"/>
          <w:szCs w:val="21"/>
        </w:rPr>
      </w:pPr>
      <w:r>
        <w:rPr>
          <w:rFonts w:hint="eastAsia" w:ascii="华文仿宋" w:hAnsi="华文仿宋" w:eastAsia="华文仿宋"/>
          <w:color w:val="auto"/>
          <w:sz w:val="21"/>
          <w:szCs w:val="21"/>
        </w:rPr>
        <w:t>b.指2020年度对未开展过评价的学校首次开展的综合评价，2014-2019年已开展过的不再计入。</w:t>
      </w:r>
    </w:p>
    <w:p>
      <w:pPr>
        <w:jc w:val="left"/>
        <w:rPr>
          <w:rFonts w:ascii="仿宋_GB2312" w:hAnsi="Calibri"/>
          <w:sz w:val="24"/>
          <w:szCs w:val="22"/>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3" w:right="1440" w:bottom="1803" w:left="1440" w:header="851" w:footer="992" w:gutter="0"/>
      <w:cols w:space="720" w:num="1"/>
      <w:docGrid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1</w:t>
    </w:r>
    <w:r>
      <w:fldChar w:fldCharType="end"/>
    </w:r>
  </w:p>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separate"/>
    </w:r>
    <w:r>
      <w:rPr>
        <w:rStyle w:val="13"/>
      </w:rPr>
      <w:t>- 10 -</w: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11</w:t>
    </w:r>
    <w:r>
      <w:rPr>
        <w:lang w:val="zh-CN"/>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42F12"/>
    <w:rsid w:val="00001BC7"/>
    <w:rsid w:val="00014C7F"/>
    <w:rsid w:val="00015ED5"/>
    <w:rsid w:val="000249BD"/>
    <w:rsid w:val="000250E4"/>
    <w:rsid w:val="0004689B"/>
    <w:rsid w:val="00047C63"/>
    <w:rsid w:val="00054F83"/>
    <w:rsid w:val="000566AF"/>
    <w:rsid w:val="00057C2A"/>
    <w:rsid w:val="00065E39"/>
    <w:rsid w:val="00070868"/>
    <w:rsid w:val="000807EF"/>
    <w:rsid w:val="000913FF"/>
    <w:rsid w:val="00096FBA"/>
    <w:rsid w:val="000B20C5"/>
    <w:rsid w:val="000B6F5F"/>
    <w:rsid w:val="000B7575"/>
    <w:rsid w:val="000C647A"/>
    <w:rsid w:val="000C75AD"/>
    <w:rsid w:val="000E5B4B"/>
    <w:rsid w:val="000E7CF8"/>
    <w:rsid w:val="000F1482"/>
    <w:rsid w:val="000F19EC"/>
    <w:rsid w:val="00117A34"/>
    <w:rsid w:val="00120A86"/>
    <w:rsid w:val="001431F2"/>
    <w:rsid w:val="00160C66"/>
    <w:rsid w:val="00172ADC"/>
    <w:rsid w:val="00182F97"/>
    <w:rsid w:val="0018374C"/>
    <w:rsid w:val="001853D2"/>
    <w:rsid w:val="00185C39"/>
    <w:rsid w:val="001909C4"/>
    <w:rsid w:val="00192793"/>
    <w:rsid w:val="001A2D32"/>
    <w:rsid w:val="001C430F"/>
    <w:rsid w:val="001C6516"/>
    <w:rsid w:val="001E61D9"/>
    <w:rsid w:val="0020598F"/>
    <w:rsid w:val="002302E2"/>
    <w:rsid w:val="00236832"/>
    <w:rsid w:val="002437D9"/>
    <w:rsid w:val="00255C39"/>
    <w:rsid w:val="00273981"/>
    <w:rsid w:val="00274FD5"/>
    <w:rsid w:val="002771E1"/>
    <w:rsid w:val="00282CB2"/>
    <w:rsid w:val="00287078"/>
    <w:rsid w:val="002875F7"/>
    <w:rsid w:val="0029123F"/>
    <w:rsid w:val="002A3404"/>
    <w:rsid w:val="002A67D4"/>
    <w:rsid w:val="002A695C"/>
    <w:rsid w:val="002C66B8"/>
    <w:rsid w:val="002C78F1"/>
    <w:rsid w:val="0030062B"/>
    <w:rsid w:val="0030346E"/>
    <w:rsid w:val="00306576"/>
    <w:rsid w:val="0032458B"/>
    <w:rsid w:val="0033029F"/>
    <w:rsid w:val="00344090"/>
    <w:rsid w:val="0036662E"/>
    <w:rsid w:val="00392A30"/>
    <w:rsid w:val="00392A73"/>
    <w:rsid w:val="003B386E"/>
    <w:rsid w:val="003B6B2A"/>
    <w:rsid w:val="003B7190"/>
    <w:rsid w:val="003C324D"/>
    <w:rsid w:val="003C5792"/>
    <w:rsid w:val="003C6086"/>
    <w:rsid w:val="003D0CA4"/>
    <w:rsid w:val="003D2B2B"/>
    <w:rsid w:val="003E23E2"/>
    <w:rsid w:val="003E5C74"/>
    <w:rsid w:val="003E72FA"/>
    <w:rsid w:val="003F1955"/>
    <w:rsid w:val="003F2354"/>
    <w:rsid w:val="004352B9"/>
    <w:rsid w:val="00442F12"/>
    <w:rsid w:val="00444A95"/>
    <w:rsid w:val="00444D58"/>
    <w:rsid w:val="00455A3D"/>
    <w:rsid w:val="0046142E"/>
    <w:rsid w:val="00462D95"/>
    <w:rsid w:val="00465527"/>
    <w:rsid w:val="00480B19"/>
    <w:rsid w:val="004A04C6"/>
    <w:rsid w:val="004A1E66"/>
    <w:rsid w:val="004C27BE"/>
    <w:rsid w:val="004C2971"/>
    <w:rsid w:val="004D2342"/>
    <w:rsid w:val="004D3157"/>
    <w:rsid w:val="004D324B"/>
    <w:rsid w:val="004E4141"/>
    <w:rsid w:val="004F21A2"/>
    <w:rsid w:val="004F79E4"/>
    <w:rsid w:val="00500B20"/>
    <w:rsid w:val="00503F2E"/>
    <w:rsid w:val="00505854"/>
    <w:rsid w:val="0054534A"/>
    <w:rsid w:val="00546EAB"/>
    <w:rsid w:val="0055474B"/>
    <w:rsid w:val="00595FFA"/>
    <w:rsid w:val="00596C82"/>
    <w:rsid w:val="00596ECE"/>
    <w:rsid w:val="00597DD5"/>
    <w:rsid w:val="005E387F"/>
    <w:rsid w:val="005E4F09"/>
    <w:rsid w:val="00605C2D"/>
    <w:rsid w:val="006143F3"/>
    <w:rsid w:val="00616129"/>
    <w:rsid w:val="00623B16"/>
    <w:rsid w:val="00623C0E"/>
    <w:rsid w:val="0062569C"/>
    <w:rsid w:val="006350BD"/>
    <w:rsid w:val="00651334"/>
    <w:rsid w:val="00671EAA"/>
    <w:rsid w:val="006732CD"/>
    <w:rsid w:val="00680037"/>
    <w:rsid w:val="00681905"/>
    <w:rsid w:val="00684CC9"/>
    <w:rsid w:val="006936DA"/>
    <w:rsid w:val="006C4861"/>
    <w:rsid w:val="006D7D21"/>
    <w:rsid w:val="006E1FBA"/>
    <w:rsid w:val="00700D71"/>
    <w:rsid w:val="00705972"/>
    <w:rsid w:val="007133BD"/>
    <w:rsid w:val="00714AC3"/>
    <w:rsid w:val="00720B6A"/>
    <w:rsid w:val="00724AAA"/>
    <w:rsid w:val="00744AF1"/>
    <w:rsid w:val="007461AB"/>
    <w:rsid w:val="00747543"/>
    <w:rsid w:val="00753F9F"/>
    <w:rsid w:val="007573F5"/>
    <w:rsid w:val="0076253C"/>
    <w:rsid w:val="007677C2"/>
    <w:rsid w:val="007978EE"/>
    <w:rsid w:val="007A09E6"/>
    <w:rsid w:val="007E48DC"/>
    <w:rsid w:val="007F6F3C"/>
    <w:rsid w:val="008009DD"/>
    <w:rsid w:val="0080181E"/>
    <w:rsid w:val="00816B8F"/>
    <w:rsid w:val="00820F16"/>
    <w:rsid w:val="008211A0"/>
    <w:rsid w:val="00826728"/>
    <w:rsid w:val="00827707"/>
    <w:rsid w:val="00840272"/>
    <w:rsid w:val="00841394"/>
    <w:rsid w:val="00866F59"/>
    <w:rsid w:val="0086708C"/>
    <w:rsid w:val="008808F9"/>
    <w:rsid w:val="0088237B"/>
    <w:rsid w:val="008B1A2C"/>
    <w:rsid w:val="008C7C8B"/>
    <w:rsid w:val="008D5528"/>
    <w:rsid w:val="008E2424"/>
    <w:rsid w:val="008E49A3"/>
    <w:rsid w:val="008E4F50"/>
    <w:rsid w:val="008F71FD"/>
    <w:rsid w:val="00922CEC"/>
    <w:rsid w:val="009235D5"/>
    <w:rsid w:val="00925479"/>
    <w:rsid w:val="0093230D"/>
    <w:rsid w:val="00933B0F"/>
    <w:rsid w:val="009415B6"/>
    <w:rsid w:val="0094510A"/>
    <w:rsid w:val="009458EB"/>
    <w:rsid w:val="00965CCB"/>
    <w:rsid w:val="00971B0E"/>
    <w:rsid w:val="009A2BD1"/>
    <w:rsid w:val="009B4F09"/>
    <w:rsid w:val="009B79A2"/>
    <w:rsid w:val="009F5B14"/>
    <w:rsid w:val="00A12D62"/>
    <w:rsid w:val="00A25C33"/>
    <w:rsid w:val="00A36256"/>
    <w:rsid w:val="00A56596"/>
    <w:rsid w:val="00A62EE4"/>
    <w:rsid w:val="00A71A86"/>
    <w:rsid w:val="00A83346"/>
    <w:rsid w:val="00A85A8B"/>
    <w:rsid w:val="00A92AFF"/>
    <w:rsid w:val="00AB06E8"/>
    <w:rsid w:val="00AF1143"/>
    <w:rsid w:val="00B1045D"/>
    <w:rsid w:val="00B15138"/>
    <w:rsid w:val="00B252A7"/>
    <w:rsid w:val="00B4394B"/>
    <w:rsid w:val="00B61E01"/>
    <w:rsid w:val="00B63616"/>
    <w:rsid w:val="00B706D2"/>
    <w:rsid w:val="00B748BC"/>
    <w:rsid w:val="00BA35CD"/>
    <w:rsid w:val="00BB6575"/>
    <w:rsid w:val="00BC0A47"/>
    <w:rsid w:val="00BC54C2"/>
    <w:rsid w:val="00BC79B4"/>
    <w:rsid w:val="00BD4FA2"/>
    <w:rsid w:val="00BE40AE"/>
    <w:rsid w:val="00C1658E"/>
    <w:rsid w:val="00C16C72"/>
    <w:rsid w:val="00C17F56"/>
    <w:rsid w:val="00C32EA5"/>
    <w:rsid w:val="00C37FCF"/>
    <w:rsid w:val="00C41D75"/>
    <w:rsid w:val="00C51AF2"/>
    <w:rsid w:val="00C5326E"/>
    <w:rsid w:val="00C617C0"/>
    <w:rsid w:val="00C77602"/>
    <w:rsid w:val="00C77E0F"/>
    <w:rsid w:val="00C9292D"/>
    <w:rsid w:val="00CA5016"/>
    <w:rsid w:val="00CB0E40"/>
    <w:rsid w:val="00CB4F78"/>
    <w:rsid w:val="00CC749C"/>
    <w:rsid w:val="00CF2559"/>
    <w:rsid w:val="00CF6CD1"/>
    <w:rsid w:val="00D0065B"/>
    <w:rsid w:val="00D0408E"/>
    <w:rsid w:val="00D13AAB"/>
    <w:rsid w:val="00D322C6"/>
    <w:rsid w:val="00D46C5D"/>
    <w:rsid w:val="00D76BD7"/>
    <w:rsid w:val="00D91381"/>
    <w:rsid w:val="00D94A18"/>
    <w:rsid w:val="00DB5602"/>
    <w:rsid w:val="00DD2E79"/>
    <w:rsid w:val="00E22884"/>
    <w:rsid w:val="00E40F7E"/>
    <w:rsid w:val="00E44A13"/>
    <w:rsid w:val="00E47BA2"/>
    <w:rsid w:val="00E7017E"/>
    <w:rsid w:val="00E74F39"/>
    <w:rsid w:val="00E92D4F"/>
    <w:rsid w:val="00EB7E0B"/>
    <w:rsid w:val="00ED1187"/>
    <w:rsid w:val="00ED2F2D"/>
    <w:rsid w:val="00ED645D"/>
    <w:rsid w:val="00EE2B27"/>
    <w:rsid w:val="00EE427F"/>
    <w:rsid w:val="00EE6258"/>
    <w:rsid w:val="00F01CCC"/>
    <w:rsid w:val="00F02D52"/>
    <w:rsid w:val="00F03C9B"/>
    <w:rsid w:val="00F2421B"/>
    <w:rsid w:val="00F25EE3"/>
    <w:rsid w:val="00F314AD"/>
    <w:rsid w:val="00F31AD6"/>
    <w:rsid w:val="00F33CEC"/>
    <w:rsid w:val="00F40E76"/>
    <w:rsid w:val="00F474C1"/>
    <w:rsid w:val="00F4790F"/>
    <w:rsid w:val="00F55F68"/>
    <w:rsid w:val="00F56977"/>
    <w:rsid w:val="00F63B94"/>
    <w:rsid w:val="00F70B97"/>
    <w:rsid w:val="00F8139F"/>
    <w:rsid w:val="00F95B11"/>
    <w:rsid w:val="00F96001"/>
    <w:rsid w:val="00F961B9"/>
    <w:rsid w:val="00FB2A88"/>
    <w:rsid w:val="00FC5193"/>
    <w:rsid w:val="00FC6E4B"/>
    <w:rsid w:val="00FE7E64"/>
    <w:rsid w:val="04ED7467"/>
    <w:rsid w:val="0F896232"/>
    <w:rsid w:val="17ED7516"/>
    <w:rsid w:val="1A643C5B"/>
    <w:rsid w:val="1EC91910"/>
    <w:rsid w:val="1EDA0210"/>
    <w:rsid w:val="216A5316"/>
    <w:rsid w:val="2BF000A4"/>
    <w:rsid w:val="2FE67247"/>
    <w:rsid w:val="323946DB"/>
    <w:rsid w:val="3BEE70BA"/>
    <w:rsid w:val="3CED75D0"/>
    <w:rsid w:val="432E04DD"/>
    <w:rsid w:val="47B56E8B"/>
    <w:rsid w:val="4D2453F4"/>
    <w:rsid w:val="4FD7149E"/>
    <w:rsid w:val="502428BA"/>
    <w:rsid w:val="507150CB"/>
    <w:rsid w:val="55247185"/>
    <w:rsid w:val="5D5D34AA"/>
    <w:rsid w:val="602D40D8"/>
    <w:rsid w:val="6675452D"/>
    <w:rsid w:val="668D2E4E"/>
    <w:rsid w:val="6DE263AD"/>
    <w:rsid w:val="78B96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5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rFonts w:eastAsia="黑体"/>
      <w:b/>
      <w:bCs/>
      <w:kern w:val="44"/>
      <w:szCs w:val="44"/>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9"/>
    <w:qFormat/>
    <w:uiPriority w:val="0"/>
    <w:rPr>
      <w:rFonts w:ascii="Times New Roman" w:hAnsi="Times New Roman"/>
      <w:b/>
      <w:bCs/>
      <w:szCs w:val="24"/>
    </w:rPr>
  </w:style>
  <w:style w:type="paragraph" w:styleId="4">
    <w:name w:val="annotation text"/>
    <w:basedOn w:val="1"/>
    <w:link w:val="25"/>
    <w:unhideWhenUsed/>
    <w:qFormat/>
    <w:uiPriority w:val="0"/>
    <w:pPr>
      <w:jc w:val="left"/>
    </w:pPr>
    <w:rPr>
      <w:rFonts w:ascii="Calibri" w:hAnsi="Calibri" w:eastAsia="宋体"/>
      <w:sz w:val="21"/>
      <w:szCs w:val="22"/>
    </w:rPr>
  </w:style>
  <w:style w:type="paragraph" w:styleId="5">
    <w:name w:val="Plain Text"/>
    <w:basedOn w:val="1"/>
    <w:link w:val="36"/>
    <w:qFormat/>
    <w:uiPriority w:val="0"/>
    <w:rPr>
      <w:rFonts w:ascii="宋体" w:hAnsi="Courier New" w:eastAsia="宋体" w:cs="Courier New"/>
      <w:sz w:val="21"/>
      <w:szCs w:val="21"/>
    </w:rPr>
  </w:style>
  <w:style w:type="paragraph" w:styleId="6">
    <w:name w:val="Date"/>
    <w:basedOn w:val="1"/>
    <w:next w:val="1"/>
    <w:link w:val="29"/>
    <w:qFormat/>
    <w:uiPriority w:val="0"/>
    <w:pPr>
      <w:ind w:left="100" w:leftChars="2500"/>
    </w:pPr>
    <w:rPr>
      <w:rFonts w:eastAsia="宋体"/>
      <w:sz w:val="21"/>
    </w:rPr>
  </w:style>
  <w:style w:type="paragraph" w:styleId="7">
    <w:name w:val="Balloon Text"/>
    <w:basedOn w:val="1"/>
    <w:link w:val="23"/>
    <w:qFormat/>
    <w:uiPriority w:val="0"/>
    <w:rPr>
      <w:rFonts w:eastAsia="宋体"/>
      <w:sz w:val="18"/>
      <w:szCs w:val="18"/>
    </w:rPr>
  </w:style>
  <w:style w:type="paragraph" w:styleId="8">
    <w:name w:val="footer"/>
    <w:basedOn w:val="1"/>
    <w:link w:val="53"/>
    <w:qFormat/>
    <w:uiPriority w:val="0"/>
    <w:pPr>
      <w:tabs>
        <w:tab w:val="center" w:pos="4153"/>
        <w:tab w:val="right" w:pos="8306"/>
      </w:tabs>
      <w:snapToGrid w:val="0"/>
      <w:jc w:val="left"/>
    </w:pPr>
    <w:rPr>
      <w:rFonts w:eastAsia="宋体"/>
      <w:sz w:val="18"/>
      <w:szCs w:val="18"/>
    </w:rPr>
  </w:style>
  <w:style w:type="paragraph" w:styleId="9">
    <w:name w:val="header"/>
    <w:basedOn w:val="1"/>
    <w:link w:val="38"/>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0">
    <w:name w:val="Subtitle"/>
    <w:basedOn w:val="1"/>
    <w:next w:val="1"/>
    <w:link w:val="35"/>
    <w:qFormat/>
    <w:uiPriority w:val="0"/>
    <w:pPr>
      <w:spacing w:before="240" w:after="60" w:line="312" w:lineRule="auto"/>
      <w:outlineLvl w:val="1"/>
    </w:pPr>
    <w:rPr>
      <w:rFonts w:ascii="Cambria" w:hAnsi="Cambria" w:eastAsia="楷体_GB2312"/>
      <w:b/>
      <w:bCs/>
      <w:kern w:val="28"/>
      <w:szCs w:val="32"/>
    </w:rPr>
  </w:style>
  <w:style w:type="paragraph" w:styleId="11">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3">
    <w:name w:val="page number"/>
    <w:basedOn w:val="12"/>
    <w:qFormat/>
    <w:uiPriority w:val="0"/>
  </w:style>
  <w:style w:type="character" w:styleId="14">
    <w:name w:val="Hyperlink"/>
    <w:qFormat/>
    <w:uiPriority w:val="0"/>
    <w:rPr>
      <w:color w:val="0000FF"/>
      <w:u w:val="single"/>
    </w:rPr>
  </w:style>
  <w:style w:type="character" w:styleId="15">
    <w:name w:val="annotation reference"/>
    <w:qFormat/>
    <w:uiPriority w:val="0"/>
    <w:rPr>
      <w:sz w:val="21"/>
      <w:szCs w:val="21"/>
    </w:rPr>
  </w:style>
  <w:style w:type="table" w:styleId="17">
    <w:name w:val="Table Grid"/>
    <w:basedOn w:val="16"/>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访问过的超链接"/>
    <w:unhideWhenUsed/>
    <w:qFormat/>
    <w:uiPriority w:val="99"/>
    <w:rPr>
      <w:color w:val="800080"/>
      <w:u w:val="single"/>
    </w:rPr>
  </w:style>
  <w:style w:type="character" w:customStyle="1" w:styleId="19">
    <w:name w:val="批注主题 Char"/>
    <w:link w:val="3"/>
    <w:qFormat/>
    <w:uiPriority w:val="0"/>
    <w:rPr>
      <w:b/>
      <w:bCs/>
      <w:kern w:val="2"/>
      <w:sz w:val="21"/>
      <w:szCs w:val="24"/>
    </w:rPr>
  </w:style>
  <w:style w:type="character" w:customStyle="1" w:styleId="20">
    <w:name w:val="批注文字 Char2"/>
    <w:semiHidden/>
    <w:qFormat/>
    <w:uiPriority w:val="99"/>
    <w:rPr>
      <w:kern w:val="2"/>
      <w:sz w:val="21"/>
      <w:szCs w:val="22"/>
    </w:rPr>
  </w:style>
  <w:style w:type="character" w:customStyle="1" w:styleId="21">
    <w:name w:val="页脚 Char1"/>
    <w:qFormat/>
    <w:uiPriority w:val="0"/>
    <w:rPr>
      <w:kern w:val="2"/>
      <w:sz w:val="18"/>
      <w:szCs w:val="18"/>
    </w:rPr>
  </w:style>
  <w:style w:type="character" w:customStyle="1" w:styleId="22">
    <w:name w:val="批注主题 Char2"/>
    <w:semiHidden/>
    <w:qFormat/>
    <w:uiPriority w:val="99"/>
    <w:rPr>
      <w:b/>
      <w:bCs/>
      <w:kern w:val="2"/>
      <w:sz w:val="21"/>
      <w:szCs w:val="22"/>
    </w:rPr>
  </w:style>
  <w:style w:type="character" w:customStyle="1" w:styleId="23">
    <w:name w:val="批注框文本 Char"/>
    <w:link w:val="7"/>
    <w:qFormat/>
    <w:uiPriority w:val="0"/>
    <w:rPr>
      <w:kern w:val="2"/>
      <w:sz w:val="18"/>
      <w:szCs w:val="18"/>
    </w:rPr>
  </w:style>
  <w:style w:type="character" w:customStyle="1" w:styleId="24">
    <w:name w:val="页脚 Char3"/>
    <w:semiHidden/>
    <w:qFormat/>
    <w:uiPriority w:val="99"/>
    <w:rPr>
      <w:kern w:val="2"/>
      <w:sz w:val="18"/>
      <w:szCs w:val="18"/>
    </w:rPr>
  </w:style>
  <w:style w:type="character" w:customStyle="1" w:styleId="25">
    <w:name w:val="批注文字 Char3"/>
    <w:link w:val="4"/>
    <w:qFormat/>
    <w:uiPriority w:val="0"/>
    <w:rPr>
      <w:rFonts w:ascii="Calibri" w:hAnsi="Calibri"/>
      <w:kern w:val="2"/>
      <w:sz w:val="21"/>
      <w:szCs w:val="22"/>
    </w:rPr>
  </w:style>
  <w:style w:type="character" w:customStyle="1" w:styleId="26">
    <w:name w:val="apple-converted-space"/>
    <w:qFormat/>
    <w:uiPriority w:val="0"/>
  </w:style>
  <w:style w:type="character" w:customStyle="1" w:styleId="27">
    <w:name w:val="页脚 Char2"/>
    <w:qFormat/>
    <w:uiPriority w:val="0"/>
    <w:rPr>
      <w:kern w:val="2"/>
      <w:sz w:val="18"/>
      <w:szCs w:val="18"/>
    </w:rPr>
  </w:style>
  <w:style w:type="character" w:customStyle="1" w:styleId="28">
    <w:name w:val="日期 Char4"/>
    <w:qFormat/>
    <w:uiPriority w:val="99"/>
    <w:rPr>
      <w:rFonts w:eastAsia="仿宋_GB2312"/>
      <w:kern w:val="2"/>
      <w:sz w:val="32"/>
      <w:szCs w:val="24"/>
    </w:rPr>
  </w:style>
  <w:style w:type="character" w:customStyle="1" w:styleId="29">
    <w:name w:val="日期 Char"/>
    <w:link w:val="6"/>
    <w:qFormat/>
    <w:uiPriority w:val="0"/>
    <w:rPr>
      <w:kern w:val="2"/>
      <w:sz w:val="21"/>
      <w:szCs w:val="24"/>
    </w:rPr>
  </w:style>
  <w:style w:type="character" w:customStyle="1" w:styleId="30">
    <w:name w:val="纯文本 Char1"/>
    <w:qFormat/>
    <w:uiPriority w:val="99"/>
    <w:rPr>
      <w:rFonts w:ascii="宋体" w:hAnsi="Courier New" w:cs="Courier New"/>
      <w:kern w:val="2"/>
      <w:sz w:val="21"/>
      <w:szCs w:val="21"/>
    </w:rPr>
  </w:style>
  <w:style w:type="character" w:customStyle="1" w:styleId="31">
    <w:name w:val="批注框文本 Char3"/>
    <w:semiHidden/>
    <w:qFormat/>
    <w:uiPriority w:val="99"/>
    <w:rPr>
      <w:kern w:val="2"/>
      <w:sz w:val="18"/>
      <w:szCs w:val="18"/>
    </w:rPr>
  </w:style>
  <w:style w:type="character" w:customStyle="1" w:styleId="32">
    <w:name w:val="批注文字 Char"/>
    <w:qFormat/>
    <w:uiPriority w:val="0"/>
    <w:rPr>
      <w:kern w:val="2"/>
      <w:sz w:val="21"/>
      <w:szCs w:val="24"/>
    </w:rPr>
  </w:style>
  <w:style w:type="character" w:customStyle="1" w:styleId="33">
    <w:name w:val="批注框文本 Char4"/>
    <w:semiHidden/>
    <w:qFormat/>
    <w:uiPriority w:val="99"/>
    <w:rPr>
      <w:kern w:val="2"/>
      <w:sz w:val="18"/>
      <w:szCs w:val="18"/>
    </w:rPr>
  </w:style>
  <w:style w:type="character" w:customStyle="1" w:styleId="34">
    <w:name w:val="副标题 Char2"/>
    <w:qFormat/>
    <w:uiPriority w:val="11"/>
    <w:rPr>
      <w:rFonts w:ascii="Cambria" w:hAnsi="Cambria" w:cs="Times New Roman"/>
      <w:b/>
      <w:bCs/>
      <w:kern w:val="28"/>
      <w:sz w:val="32"/>
      <w:szCs w:val="32"/>
    </w:rPr>
  </w:style>
  <w:style w:type="character" w:customStyle="1" w:styleId="35">
    <w:name w:val="副标题 Char"/>
    <w:link w:val="10"/>
    <w:qFormat/>
    <w:uiPriority w:val="0"/>
    <w:rPr>
      <w:rFonts w:ascii="Cambria" w:hAnsi="Cambria" w:eastAsia="楷体_GB2312"/>
      <w:b/>
      <w:bCs/>
      <w:kern w:val="28"/>
      <w:sz w:val="32"/>
      <w:szCs w:val="32"/>
    </w:rPr>
  </w:style>
  <w:style w:type="character" w:customStyle="1" w:styleId="36">
    <w:name w:val="纯文本 Char"/>
    <w:link w:val="5"/>
    <w:qFormat/>
    <w:uiPriority w:val="0"/>
    <w:rPr>
      <w:rFonts w:ascii="宋体" w:hAnsi="Courier New" w:cs="Courier New"/>
      <w:kern w:val="2"/>
      <w:sz w:val="21"/>
      <w:szCs w:val="21"/>
    </w:rPr>
  </w:style>
  <w:style w:type="character" w:customStyle="1" w:styleId="37">
    <w:name w:val="页眉 Char2"/>
    <w:semiHidden/>
    <w:qFormat/>
    <w:uiPriority w:val="99"/>
    <w:rPr>
      <w:kern w:val="2"/>
      <w:sz w:val="18"/>
      <w:szCs w:val="18"/>
    </w:rPr>
  </w:style>
  <w:style w:type="character" w:customStyle="1" w:styleId="38">
    <w:name w:val="页眉 Char"/>
    <w:link w:val="9"/>
    <w:qFormat/>
    <w:uiPriority w:val="0"/>
    <w:rPr>
      <w:kern w:val="2"/>
      <w:sz w:val="18"/>
      <w:szCs w:val="18"/>
    </w:rPr>
  </w:style>
  <w:style w:type="character" w:customStyle="1" w:styleId="39">
    <w:name w:val="批注主题 Char3"/>
    <w:qFormat/>
    <w:uiPriority w:val="99"/>
    <w:rPr>
      <w:rFonts w:ascii="Calibri" w:hAnsi="Calibri"/>
      <w:b/>
      <w:bCs/>
      <w:kern w:val="2"/>
      <w:sz w:val="21"/>
      <w:szCs w:val="22"/>
    </w:rPr>
  </w:style>
  <w:style w:type="character" w:customStyle="1" w:styleId="40">
    <w:name w:val="批注框文本 Char5"/>
    <w:semiHidden/>
    <w:qFormat/>
    <w:uiPriority w:val="99"/>
    <w:rPr>
      <w:kern w:val="2"/>
      <w:sz w:val="18"/>
      <w:szCs w:val="18"/>
    </w:rPr>
  </w:style>
  <w:style w:type="character" w:customStyle="1" w:styleId="41">
    <w:name w:val="标题 1 Char"/>
    <w:link w:val="2"/>
    <w:qFormat/>
    <w:uiPriority w:val="0"/>
    <w:rPr>
      <w:rFonts w:eastAsia="黑体"/>
      <w:b/>
      <w:bCs/>
      <w:kern w:val="44"/>
      <w:sz w:val="32"/>
      <w:szCs w:val="44"/>
    </w:rPr>
  </w:style>
  <w:style w:type="character" w:customStyle="1" w:styleId="42">
    <w:name w:val="页眉 Char1"/>
    <w:qFormat/>
    <w:uiPriority w:val="0"/>
    <w:rPr>
      <w:kern w:val="2"/>
      <w:sz w:val="18"/>
      <w:szCs w:val="18"/>
    </w:rPr>
  </w:style>
  <w:style w:type="character" w:customStyle="1" w:styleId="43">
    <w:name w:val="纯文本 Char3"/>
    <w:qFormat/>
    <w:uiPriority w:val="99"/>
    <w:rPr>
      <w:rFonts w:ascii="宋体" w:hAnsi="Courier New" w:cs="Courier New"/>
      <w:kern w:val="2"/>
      <w:sz w:val="21"/>
      <w:szCs w:val="21"/>
    </w:rPr>
  </w:style>
  <w:style w:type="character" w:customStyle="1" w:styleId="44">
    <w:name w:val="日期 Char1"/>
    <w:qFormat/>
    <w:uiPriority w:val="0"/>
    <w:rPr>
      <w:kern w:val="2"/>
      <w:sz w:val="21"/>
      <w:szCs w:val="24"/>
    </w:rPr>
  </w:style>
  <w:style w:type="character" w:customStyle="1" w:styleId="45">
    <w:name w:val="日期 Char3"/>
    <w:semiHidden/>
    <w:qFormat/>
    <w:uiPriority w:val="99"/>
    <w:rPr>
      <w:kern w:val="2"/>
      <w:sz w:val="21"/>
      <w:szCs w:val="22"/>
    </w:rPr>
  </w:style>
  <w:style w:type="character" w:customStyle="1" w:styleId="46">
    <w:name w:val="批注框文本 Char2"/>
    <w:qFormat/>
    <w:uiPriority w:val="0"/>
    <w:rPr>
      <w:kern w:val="2"/>
      <w:sz w:val="18"/>
      <w:szCs w:val="18"/>
    </w:rPr>
  </w:style>
  <w:style w:type="character" w:customStyle="1" w:styleId="47">
    <w:name w:val="日期 Char2"/>
    <w:qFormat/>
    <w:uiPriority w:val="99"/>
    <w:rPr>
      <w:rFonts w:eastAsia="仿宋_GB2312"/>
      <w:kern w:val="2"/>
      <w:sz w:val="32"/>
      <w:szCs w:val="24"/>
    </w:rPr>
  </w:style>
  <w:style w:type="character" w:customStyle="1" w:styleId="48">
    <w:name w:val="副标题 Char1"/>
    <w:qFormat/>
    <w:uiPriority w:val="11"/>
    <w:rPr>
      <w:rFonts w:ascii="Cambria" w:hAnsi="Cambria" w:cs="Times New Roman"/>
      <w:b/>
      <w:bCs/>
      <w:kern w:val="28"/>
      <w:sz w:val="32"/>
      <w:szCs w:val="32"/>
    </w:rPr>
  </w:style>
  <w:style w:type="character" w:customStyle="1" w:styleId="49">
    <w:name w:val="纯文本 Char2"/>
    <w:semiHidden/>
    <w:qFormat/>
    <w:uiPriority w:val="99"/>
    <w:rPr>
      <w:rFonts w:ascii="宋体" w:hAnsi="Courier New" w:cs="Courier New"/>
      <w:kern w:val="2"/>
      <w:sz w:val="21"/>
      <w:szCs w:val="21"/>
    </w:rPr>
  </w:style>
  <w:style w:type="character" w:customStyle="1" w:styleId="50">
    <w:name w:val="批注文字 Char1"/>
    <w:qFormat/>
    <w:uiPriority w:val="0"/>
    <w:rPr>
      <w:kern w:val="2"/>
      <w:sz w:val="21"/>
      <w:szCs w:val="22"/>
    </w:rPr>
  </w:style>
  <w:style w:type="character" w:customStyle="1" w:styleId="51">
    <w:name w:val="批注主题 Char1"/>
    <w:qFormat/>
    <w:uiPriority w:val="99"/>
    <w:rPr>
      <w:rFonts w:ascii="Calibri" w:hAnsi="Calibri"/>
      <w:b/>
      <w:bCs/>
      <w:kern w:val="2"/>
      <w:sz w:val="21"/>
      <w:szCs w:val="22"/>
    </w:rPr>
  </w:style>
  <w:style w:type="character" w:customStyle="1" w:styleId="52">
    <w:name w:val="批注框文本 Char1"/>
    <w:qFormat/>
    <w:uiPriority w:val="0"/>
    <w:rPr>
      <w:kern w:val="2"/>
      <w:sz w:val="18"/>
      <w:szCs w:val="18"/>
    </w:rPr>
  </w:style>
  <w:style w:type="character" w:customStyle="1" w:styleId="53">
    <w:name w:val="页脚 Char"/>
    <w:link w:val="8"/>
    <w:qFormat/>
    <w:uiPriority w:val="0"/>
    <w:rPr>
      <w:kern w:val="2"/>
      <w:sz w:val="18"/>
      <w:szCs w:val="18"/>
    </w:rPr>
  </w:style>
  <w:style w:type="paragraph" w:customStyle="1" w:styleId="54">
    <w:name w:val="Char1 Char Char Char Char Char Char"/>
    <w:basedOn w:val="1"/>
    <w:qFormat/>
    <w:uiPriority w:val="0"/>
    <w:rPr>
      <w:rFonts w:ascii="Tahoma" w:hAnsi="Tahoma" w:eastAsia="宋体"/>
      <w:sz w:val="24"/>
      <w:szCs w:val="20"/>
    </w:rPr>
  </w:style>
  <w:style w:type="paragraph" w:customStyle="1" w:styleId="55">
    <w:name w:val="_Style 7"/>
    <w:next w:val="1"/>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6">
    <w:name w:val="Char Char1"/>
    <w:basedOn w:val="1"/>
    <w:qFormat/>
    <w:uiPriority w:val="0"/>
    <w:rPr>
      <w:rFonts w:eastAsia="宋体"/>
      <w:sz w:val="21"/>
    </w:rPr>
  </w:style>
  <w:style w:type="paragraph" w:customStyle="1" w:styleId="57">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58">
    <w:name w:val="教材正文"/>
    <w:basedOn w:val="1"/>
    <w:qFormat/>
    <w:uiPriority w:val="0"/>
    <w:pPr>
      <w:adjustRightInd w:val="0"/>
      <w:snapToGrid w:val="0"/>
      <w:spacing w:line="360" w:lineRule="auto"/>
      <w:ind w:firstLine="200" w:firstLineChars="200"/>
    </w:pPr>
    <w:rPr>
      <w:rFonts w:ascii="宋体" w:hAnsi="宋体" w:eastAsia="宋体"/>
      <w:sz w:val="24"/>
    </w:rPr>
  </w:style>
  <w:style w:type="paragraph" w:customStyle="1" w:styleId="59">
    <w:name w:val="Revision"/>
    <w:qFormat/>
    <w:uiPriority w:val="71"/>
    <w:rPr>
      <w:rFonts w:ascii="Times New Roman" w:hAnsi="Times New Roman" w:eastAsia="宋体" w:cs="Times New Roman"/>
      <w:kern w:val="2"/>
      <w:sz w:val="21"/>
      <w:szCs w:val="24"/>
      <w:lang w:val="en-US" w:eastAsia="zh-CN" w:bidi="ar-SA"/>
    </w:rPr>
  </w:style>
  <w:style w:type="paragraph" w:customStyle="1" w:styleId="60">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1">
    <w:name w:val="_Style 5"/>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62">
    <w:name w:val="Char Char"/>
    <w:basedOn w:val="1"/>
    <w:next w:val="1"/>
    <w:qFormat/>
    <w:uiPriority w:val="0"/>
    <w:pPr>
      <w:spacing w:line="240" w:lineRule="atLeast"/>
      <w:ind w:left="420" w:firstLine="420"/>
      <w:jc w:val="left"/>
    </w:pPr>
    <w:rPr>
      <w:rFonts w:eastAsia="宋体"/>
      <w:kern w:val="0"/>
      <w:sz w:val="21"/>
      <w:szCs w:val="21"/>
    </w:rPr>
  </w:style>
  <w:style w:type="paragraph" w:customStyle="1" w:styleId="63">
    <w:name w:val="_Style 15"/>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_Style 2"/>
    <w:basedOn w:val="1"/>
    <w:next w:val="1"/>
    <w:qFormat/>
    <w:uiPriority w:val="0"/>
    <w:pPr>
      <w:spacing w:line="240" w:lineRule="atLeast"/>
      <w:ind w:left="420" w:firstLine="420"/>
      <w:jc w:val="left"/>
    </w:pPr>
    <w:rPr>
      <w:rFonts w:eastAsia="宋体"/>
      <w:sz w:val="21"/>
    </w:rPr>
  </w:style>
  <w:style w:type="paragraph" w:styleId="65">
    <w:name w:val="List Paragraph"/>
    <w:basedOn w:val="1"/>
    <w:qFormat/>
    <w:uiPriority w:val="34"/>
    <w:pPr>
      <w:ind w:firstLine="420" w:firstLineChars="200"/>
    </w:pPr>
    <w:rPr>
      <w:rFonts w:eastAsia="宋体"/>
      <w:sz w:val="21"/>
    </w:rPr>
  </w:style>
  <w:style w:type="paragraph" w:customStyle="1" w:styleId="66">
    <w:name w:val="_Style 16"/>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样式1"/>
    <w:basedOn w:val="1"/>
    <w:qFormat/>
    <w:uiPriority w:val="0"/>
    <w:rPr>
      <w:rFonts w:ascii="仿宋_GB2312"/>
      <w:sz w:val="28"/>
    </w:rPr>
  </w:style>
  <w:style w:type="paragraph" w:customStyle="1" w:styleId="68">
    <w:name w:val="Char"/>
    <w:basedOn w:val="1"/>
    <w:next w:val="1"/>
    <w:qFormat/>
    <w:uiPriority w:val="0"/>
    <w:pPr>
      <w:spacing w:line="240" w:lineRule="atLeast"/>
      <w:ind w:left="420" w:firstLine="420"/>
      <w:jc w:val="left"/>
    </w:pPr>
    <w:rPr>
      <w:rFonts w:eastAsia="宋体"/>
      <w:kern w:val="0"/>
      <w:sz w:val="21"/>
      <w:szCs w:val="21"/>
    </w:rPr>
  </w:style>
  <w:style w:type="paragraph" w:styleId="69">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0">
    <w:name w:val="中等深浅网格 11"/>
    <w:basedOn w:val="16"/>
    <w:qFormat/>
    <w:uiPriority w:val="62"/>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Layout w:type="fixed"/>
      <w:tblCellMar>
        <w:top w:w="0" w:type="dxa"/>
        <w:left w:w="108" w:type="dxa"/>
        <w:bottom w:w="0" w:type="dxa"/>
        <w:right w:w="108" w:type="dxa"/>
      </w:tblCellMar>
    </w:tblPr>
    <w:tcPr>
      <w:shd w:val="clear" w:color="auto" w:fill="C0C0C0"/>
    </w:tcPr>
    <w:tblStylePr w:type="firstRow">
      <w:rPr>
        <w:b/>
        <w:bCs/>
      </w:rPr>
    </w:tblStylePr>
    <w:tblStylePr w:type="lastRow">
      <w:rPr>
        <w:b/>
        <w:bCs/>
      </w:rPr>
      <w:tcPr>
        <w:tcBorders>
          <w:top w:val="single" w:color="404040"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808080"/>
      </w:tcPr>
    </w:tblStylePr>
    <w:tblStylePr w:type="band1Horz">
      <w:tcPr>
        <w:shd w:val="clear" w:color="auto" w:fill="808080"/>
      </w:tcPr>
    </w:tblStylePr>
  </w:style>
  <w:style w:type="paragraph" w:customStyle="1" w:styleId="71">
    <w:name w:val="列出段落1"/>
    <w:basedOn w:val="1"/>
    <w:qFormat/>
    <w:uiPriority w:val="99"/>
    <w:pPr>
      <w:ind w:firstLine="420" w:firstLineChars="200"/>
    </w:pPr>
    <w:rPr>
      <w:rFonts w:ascii="Calibri" w:hAnsi="Calibri" w:eastAsia="宋体" w:cs="Calibri"/>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FE2745-0348-4BC5-AACE-E334FB649A3F}">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Pages>
  <Words>733</Words>
  <Characters>4179</Characters>
  <Lines>34</Lines>
  <Paragraphs>9</Paragraphs>
  <TotalTime>2</TotalTime>
  <ScaleCrop>false</ScaleCrop>
  <LinksUpToDate>false</LinksUpToDate>
  <CharactersWithSpaces>4903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2018-03-01T02:49:00Z</dcterms:created>
  <dc:creator>vv</dc:creator>
  <cp:lastModifiedBy>r</cp:lastModifiedBy>
  <cp:lastPrinted>2018-02-26T05:54:00Z</cp:lastPrinted>
  <dcterms:modified xsi:type="dcterms:W3CDTF">2020-04-14T03:07:35Z</dcterms:modified>
  <dc:title>国家卫生和计划生育委员会办公厅</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