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黑体" w:hAnsi="黑体" w:eastAsia="黑体"/>
          <w:szCs w:val="32"/>
        </w:rPr>
      </w:pPr>
      <w:bookmarkStart w:id="0" w:name="红头"/>
      <w:r>
        <w:rPr>
          <w:rFonts w:hint="eastAsia" w:ascii="黑体" w:hAnsi="黑体" w:eastAsia="黑体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年深圳市餐饮具集中消毒服务单位</w:t>
      </w: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监督抽查计划</w:t>
      </w:r>
    </w:p>
    <w:p>
      <w:pPr>
        <w:widowControl/>
        <w:spacing w:line="600" w:lineRule="exact"/>
        <w:ind w:firstLine="640"/>
        <w:rPr>
          <w:rFonts w:ascii="黑体" w:hAnsi="Calibri" w:eastAsia="黑体"/>
          <w:b/>
          <w:kern w:val="0"/>
          <w:szCs w:val="32"/>
        </w:rPr>
      </w:pP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一、监督检查内容</w:t>
      </w:r>
    </w:p>
    <w:p>
      <w:pPr>
        <w:widowControl/>
        <w:spacing w:line="560" w:lineRule="exact"/>
        <w:ind w:firstLine="640"/>
        <w:rPr>
          <w:rFonts w:ascii="华文仿宋" w:hAnsi="华文仿宋" w:eastAsia="华文仿宋"/>
          <w:b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抽查餐具、饮具集中消毒服务单位依法生产情况，抽查餐具、饮具卫生质量。</w:t>
      </w: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二、责任分工</w:t>
      </w:r>
    </w:p>
    <w:p>
      <w:pPr>
        <w:widowControl/>
        <w:spacing w:line="560" w:lineRule="exact"/>
        <w:ind w:firstLine="640"/>
        <w:rPr>
          <w:rFonts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市疾控中心负责对每家餐具、饮具集中消毒服务单位的餐具、饮具产品进行采样检测工作。市卫生监督局对纳入监管范围的餐具、饮具集中消毒服务单位进行全面的监督检查，查找和发现存在的问题，建立监管档案，严厉打击餐具、饮具集中消毒服务单位的不良生产行为。对现场生产条件不符合《餐具、饮具集中消毒服务单位卫生监督规范（试行）》要求的、监督检查结论为不合格的餐具、饮具集中消毒服务单位,按照《消毒管理办法》第四十八条的规定进行处罚，及时上报卫生健康行政部门并通报给市场监管部门，同时通过新闻媒体向社会公布，并跟踪不合格项目的整改情况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二、结果报送要求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根据市卫生健康委的工作部署</w:t>
      </w:r>
      <w:bookmarkStart w:id="1" w:name="_GoBack"/>
      <w:bookmarkEnd w:id="1"/>
      <w:r>
        <w:rPr>
          <w:rFonts w:hint="eastAsia" w:ascii="仿宋_GB2312" w:hAnsi="Arial" w:cs="Arial"/>
          <w:kern w:val="0"/>
          <w:szCs w:val="32"/>
        </w:rPr>
        <w:t>，于</w:t>
      </w:r>
      <w:r>
        <w:rPr>
          <w:rFonts w:ascii="仿宋_GB2312" w:hAnsi="Arial" w:cs="Arial"/>
          <w:kern w:val="0"/>
          <w:szCs w:val="32"/>
        </w:rPr>
        <w:t>20</w:t>
      </w:r>
      <w:r>
        <w:rPr>
          <w:rFonts w:hint="eastAsia" w:ascii="仿宋_GB2312" w:hAnsi="Arial" w:cs="Arial"/>
          <w:kern w:val="0"/>
          <w:szCs w:val="32"/>
          <w:lang w:val="en-US" w:eastAsia="zh-CN"/>
        </w:rPr>
        <w:t>20</w:t>
      </w:r>
      <w:r>
        <w:rPr>
          <w:rFonts w:hint="eastAsia" w:ascii="仿宋_GB2312" w:hAnsi="Arial" w:cs="Arial"/>
          <w:kern w:val="0"/>
          <w:szCs w:val="32"/>
        </w:rPr>
        <w:t>年1</w:t>
      </w:r>
      <w:r>
        <w:rPr>
          <w:rFonts w:hint="eastAsia" w:ascii="仿宋_GB2312" w:hAnsi="Arial" w:cs="Arial"/>
          <w:kern w:val="0"/>
          <w:szCs w:val="32"/>
          <w:lang w:val="en-US" w:eastAsia="zh-CN"/>
        </w:rPr>
        <w:t>1</w:t>
      </w:r>
      <w:r>
        <w:rPr>
          <w:rFonts w:hint="eastAsia" w:ascii="仿宋_GB2312" w:hAnsi="Arial" w:cs="Arial"/>
          <w:kern w:val="0"/>
          <w:szCs w:val="32"/>
        </w:rPr>
        <w:t>月</w:t>
      </w:r>
      <w:r>
        <w:rPr>
          <w:rFonts w:hint="eastAsia" w:ascii="仿宋_GB2312" w:hAnsi="Arial" w:cs="Arial"/>
          <w:kern w:val="0"/>
          <w:szCs w:val="32"/>
          <w:lang w:val="en-US" w:eastAsia="zh-CN"/>
        </w:rPr>
        <w:t>30</w:t>
      </w:r>
      <w:r>
        <w:rPr>
          <w:rFonts w:hint="eastAsia" w:ascii="仿宋_GB2312" w:hAnsi="Arial" w:cs="Arial"/>
          <w:kern w:val="0"/>
          <w:szCs w:val="32"/>
        </w:rPr>
        <w:t>日</w:t>
      </w:r>
      <w:r>
        <w:rPr>
          <w:rFonts w:ascii="仿宋_GB2312" w:hAnsi="Arial" w:cs="Arial"/>
          <w:kern w:val="0"/>
          <w:szCs w:val="32"/>
        </w:rPr>
        <w:t>前</w:t>
      </w:r>
      <w:r>
        <w:rPr>
          <w:rFonts w:hint="eastAsia" w:ascii="仿宋_GB2312" w:hAnsi="Arial" w:cs="Arial"/>
          <w:kern w:val="0"/>
          <w:szCs w:val="32"/>
        </w:rPr>
        <w:t>各</w:t>
      </w:r>
      <w:r>
        <w:rPr>
          <w:rFonts w:ascii="仿宋_GB2312" w:hAnsi="Arial" w:cs="Arial"/>
          <w:kern w:val="0"/>
          <w:szCs w:val="32"/>
        </w:rPr>
        <w:t>完成</w:t>
      </w:r>
      <w:r>
        <w:rPr>
          <w:rFonts w:hint="eastAsia" w:ascii="仿宋_GB2312" w:hAnsi="Arial" w:cs="Arial"/>
          <w:kern w:val="0"/>
          <w:szCs w:val="32"/>
        </w:rPr>
        <w:t>本年度的抽查结果的</w:t>
      </w:r>
      <w:r>
        <w:rPr>
          <w:rFonts w:hint="eastAsia" w:ascii="仿宋_GB2312" w:hAnsi="华文仿宋"/>
          <w:kern w:val="0"/>
          <w:szCs w:val="32"/>
        </w:rPr>
        <w:t>报送并及时向社会公布抽查结果。汇总数据以信息报告系统的填报数据为准，不需另外报送纸质报表。报送以上材料均需同时报送电子版至</w:t>
      </w:r>
      <w:r>
        <w:fldChar w:fldCharType="begin"/>
      </w:r>
      <w:r>
        <w:instrText xml:space="preserve"> HYPERLINK "mailto:szcrbjdk@126.com" </w:instrText>
      </w:r>
      <w:r>
        <w:fldChar w:fldCharType="separate"/>
      </w:r>
      <w:r>
        <w:rPr>
          <w:rFonts w:hint="eastAsia" w:ascii="仿宋_GB2312" w:hAnsi="仿宋"/>
          <w:color w:val="000000"/>
          <w:kern w:val="0"/>
        </w:rPr>
        <w:t>szcrbjdk@126.com</w:t>
      </w:r>
      <w:r>
        <w:rPr>
          <w:rFonts w:hint="eastAsia" w:ascii="仿宋_GB2312" w:hAnsi="仿宋"/>
          <w:color w:val="000000"/>
          <w:kern w:val="0"/>
        </w:rPr>
        <w:fldChar w:fldCharType="end"/>
      </w:r>
      <w:r>
        <w:rPr>
          <w:rFonts w:hint="eastAsia" w:ascii="仿宋_GB2312" w:hAnsi="华文仿宋"/>
          <w:kern w:val="0"/>
          <w:szCs w:val="32"/>
        </w:rPr>
        <w:t>。</w:t>
      </w:r>
    </w:p>
    <w:p>
      <w:pPr>
        <w:spacing w:line="560" w:lineRule="exact"/>
        <w:ind w:firstLine="800" w:firstLineChars="250"/>
        <w:rPr>
          <w:rFonts w:ascii="宋体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三、联系人及联系方式</w:t>
      </w:r>
    </w:p>
    <w:p>
      <w:pPr>
        <w:spacing w:line="560" w:lineRule="exact"/>
        <w:ind w:firstLine="796" w:firstLineChars="249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联系人：章翩            联系电话：88113556</w:t>
      </w: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ind w:left="1520" w:leftChars="200" w:hanging="880" w:hangingChars="275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附表：</w:t>
      </w:r>
      <w:r>
        <w:rPr>
          <w:rFonts w:ascii="仿宋_GB2312" w:hAnsi="华文仿宋"/>
          <w:kern w:val="0"/>
          <w:szCs w:val="32"/>
        </w:rPr>
        <w:t>1.20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20</w:t>
      </w:r>
      <w:r>
        <w:rPr>
          <w:rFonts w:ascii="仿宋_GB2312" w:hAnsi="华文仿宋"/>
          <w:kern w:val="0"/>
          <w:szCs w:val="32"/>
        </w:rPr>
        <w:t>年餐</w:t>
      </w:r>
      <w:r>
        <w:rPr>
          <w:rFonts w:hint="eastAsia" w:ascii="仿宋_GB2312" w:hAnsi="华文仿宋"/>
          <w:kern w:val="0"/>
          <w:szCs w:val="32"/>
        </w:rPr>
        <w:t>具、</w:t>
      </w:r>
      <w:r>
        <w:rPr>
          <w:rFonts w:ascii="仿宋_GB2312" w:hAnsi="华文仿宋"/>
          <w:kern w:val="0"/>
          <w:szCs w:val="32"/>
        </w:rPr>
        <w:t>饮</w:t>
      </w:r>
      <w:r>
        <w:rPr>
          <w:rFonts w:hint="eastAsia" w:ascii="仿宋_GB2312" w:hAnsi="华文仿宋"/>
          <w:kern w:val="0"/>
          <w:szCs w:val="32"/>
        </w:rPr>
        <w:t>具集中消毒服务单位国家随机监督抽查工作计划表</w:t>
      </w:r>
    </w:p>
    <w:p>
      <w:pPr>
        <w:widowControl/>
        <w:spacing w:line="560" w:lineRule="exact"/>
        <w:ind w:left="1600" w:leftChars="500" w:right="-253" w:rightChars="-79"/>
        <w:rPr>
          <w:rFonts w:ascii="黑体" w:hAnsi="宋体" w:eastAsia="黑体"/>
          <w:b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linePitch="435" w:charSpace="200"/>
        </w:sectPr>
      </w:pPr>
      <w:r>
        <w:rPr>
          <w:rFonts w:hint="eastAsia" w:ascii="仿宋_GB2312" w:hAnsi="华文仿宋"/>
          <w:kern w:val="0"/>
          <w:szCs w:val="32"/>
        </w:rPr>
        <w:t>2.</w:t>
      </w:r>
      <w:r>
        <w:rPr>
          <w:rFonts w:ascii="仿宋_GB2312" w:hAnsi="华文仿宋"/>
          <w:kern w:val="0"/>
          <w:szCs w:val="32"/>
        </w:rPr>
        <w:t>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20</w:t>
      </w:r>
      <w:r>
        <w:rPr>
          <w:rFonts w:ascii="仿宋_GB2312" w:hAnsi="华文仿宋"/>
          <w:kern w:val="0"/>
          <w:szCs w:val="32"/>
        </w:rPr>
        <w:t>年餐</w:t>
      </w:r>
      <w:r>
        <w:rPr>
          <w:rFonts w:hint="eastAsia" w:ascii="仿宋_GB2312" w:hAnsi="华文仿宋"/>
          <w:kern w:val="0"/>
          <w:szCs w:val="32"/>
        </w:rPr>
        <w:t>具、</w:t>
      </w:r>
      <w:r>
        <w:rPr>
          <w:rFonts w:ascii="仿宋_GB2312" w:hAnsi="华文仿宋"/>
          <w:kern w:val="0"/>
          <w:szCs w:val="32"/>
        </w:rPr>
        <w:t>饮</w:t>
      </w:r>
      <w:r>
        <w:rPr>
          <w:rFonts w:hint="eastAsia" w:ascii="仿宋_GB2312" w:hAnsi="华文仿宋"/>
          <w:kern w:val="0"/>
          <w:szCs w:val="32"/>
        </w:rPr>
        <w:t>具集中消毒服务单位国家随机监督抽查信息汇总表</w:t>
      </w:r>
    </w:p>
    <w:p>
      <w:pPr>
        <w:widowControl/>
        <w:spacing w:beforeLines="50"/>
        <w:ind w:firstLine="480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附表1</w:t>
      </w:r>
    </w:p>
    <w:p>
      <w:pPr>
        <w:spacing w:before="156" w:beforeLines="50"/>
        <w:jc w:val="center"/>
        <w:rPr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2020年餐具饮具集中消毒服务单位国家随机监督抽查工作计划表</w:t>
      </w:r>
    </w:p>
    <w:tbl>
      <w:tblPr>
        <w:tblStyle w:val="16"/>
        <w:tblW w:w="14288" w:type="dxa"/>
        <w:tblInd w:w="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3019"/>
        <w:gridCol w:w="5793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监督检查对象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范围和数量</w:t>
            </w:r>
          </w:p>
        </w:tc>
        <w:tc>
          <w:tcPr>
            <w:tcW w:w="57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检查内容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餐具饮具集中消毒服务单位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辖区全部生产企业</w:t>
            </w:r>
          </w:p>
        </w:tc>
        <w:tc>
          <w:tcPr>
            <w:tcW w:w="57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1.用水符合国家饮用水卫生标准情况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2.使用的洗涤剂、消毒剂符合国家食品安全标准情况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3.消毒后的餐饮具进行逐批检验情况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4.建立并遵守餐饮具出厂检验记录制度情况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出厂餐饮具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每个企业抽查1-2个批次出厂餐饮具</w:t>
            </w:r>
          </w:p>
        </w:tc>
        <w:tc>
          <w:tcPr>
            <w:tcW w:w="57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1.出厂餐饮具随附消毒合格证明情况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2.出厂餐饮具按规定在独立包装上标注相关内容情况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2"/>
              </w:rPr>
            </w:pPr>
            <w:r>
              <w:rPr>
                <w:rFonts w:hint="eastAsia" w:ascii="华文仿宋" w:hAnsi="华文仿宋" w:eastAsia="华文仿宋"/>
                <w:sz w:val="24"/>
                <w:szCs w:val="22"/>
              </w:rPr>
              <w:t>感官要求，游离性余氯、阴离子合成洗涤剂</w:t>
            </w:r>
            <w:r>
              <w:rPr>
                <w:rFonts w:hint="eastAsia" w:ascii="华文仿宋" w:hAnsi="华文仿宋" w:eastAsia="华文仿宋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24"/>
                <w:szCs w:val="22"/>
              </w:rPr>
              <w:t>a</w:t>
            </w:r>
            <w:r>
              <w:rPr>
                <w:rFonts w:hint="eastAsia" w:ascii="华文仿宋" w:hAnsi="华文仿宋" w:eastAsia="华文仿宋"/>
                <w:sz w:val="24"/>
                <w:szCs w:val="2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24"/>
                <w:szCs w:val="22"/>
              </w:rPr>
              <w:t>，大肠菌群、沙门氏菌</w:t>
            </w:r>
          </w:p>
        </w:tc>
      </w:tr>
    </w:tbl>
    <w:p>
      <w:pPr>
        <w:snapToGrid w:val="0"/>
        <w:spacing w:before="156" w:beforeLines="50" w:line="240" w:lineRule="exact"/>
        <w:jc w:val="left"/>
        <w:rPr>
          <w:rFonts w:hint="eastAsia" w:ascii="华文仿宋" w:hAnsi="华文仿宋" w:eastAsia="华文仿宋"/>
          <w:color w:val="auto"/>
          <w:sz w:val="20"/>
          <w:szCs w:val="20"/>
        </w:rPr>
      </w:pPr>
      <w:r>
        <w:rPr>
          <w:rFonts w:hint="default" w:ascii="华文仿宋" w:hAnsi="华文仿宋" w:eastAsia="华文仿宋"/>
          <w:color w:val="auto"/>
          <w:sz w:val="20"/>
          <w:szCs w:val="20"/>
        </w:rPr>
        <w:t xml:space="preserve">    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a.仅适用于化学消毒法</w:t>
      </w:r>
      <w:r>
        <w:rPr>
          <w:rFonts w:hint="default" w:ascii="华文仿宋" w:hAnsi="华文仿宋" w:eastAsia="华文仿宋"/>
          <w:color w:val="auto"/>
          <w:sz w:val="21"/>
          <w:szCs w:val="21"/>
        </w:rPr>
        <w:t>。使用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其他消毒方式</w:t>
      </w:r>
      <w:r>
        <w:rPr>
          <w:rFonts w:hint="default" w:ascii="华文仿宋" w:hAnsi="华文仿宋" w:eastAsia="华文仿宋"/>
          <w:color w:val="auto"/>
          <w:sz w:val="21"/>
          <w:szCs w:val="21"/>
        </w:rPr>
        <w:t>的，游离性余氯、阴离子合成洗涤剂两项指标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合理缺项。</w:t>
      </w:r>
    </w:p>
    <w:p>
      <w:pPr>
        <w:spacing w:line="230" w:lineRule="exact"/>
        <w:rPr>
          <w:rFonts w:ascii="华文仿宋" w:hAnsi="华文仿宋" w:eastAsia="华文仿宋"/>
          <w:sz w:val="21"/>
          <w:szCs w:val="21"/>
        </w:rPr>
      </w:pPr>
    </w:p>
    <w:p>
      <w:pPr>
        <w:spacing w:beforeLines="50"/>
        <w:ind w:firstLine="480" w:firstLineChars="150"/>
        <w:jc w:val="lef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附表2</w:t>
      </w:r>
    </w:p>
    <w:bookmarkEnd w:id="0"/>
    <w:p>
      <w:pPr>
        <w:spacing w:before="156" w:beforeLines="50"/>
        <w:jc w:val="center"/>
        <w:rPr>
          <w:rFonts w:ascii="宋体" w:hAnsi="宋体"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2020年</w:t>
      </w:r>
      <w:r>
        <w:rPr>
          <w:rFonts w:hint="eastAsia" w:ascii="宋体" w:hAnsi="宋体"/>
          <w:b/>
          <w:color w:val="auto"/>
          <w:sz w:val="44"/>
          <w:szCs w:val="44"/>
        </w:rPr>
        <w:t>餐具饮具集中消毒服务单位</w:t>
      </w:r>
      <w:r>
        <w:rPr>
          <w:rFonts w:hint="eastAsia" w:ascii="宋体" w:hAnsi="宋体"/>
          <w:b/>
          <w:bCs/>
          <w:color w:val="auto"/>
          <w:sz w:val="44"/>
          <w:szCs w:val="44"/>
        </w:rPr>
        <w:t>国家随机监督抽查信息汇总表</w:t>
      </w:r>
    </w:p>
    <w:tbl>
      <w:tblPr>
        <w:tblStyle w:val="16"/>
        <w:tblW w:w="13938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16"/>
        <w:gridCol w:w="1027"/>
        <w:gridCol w:w="1027"/>
        <w:gridCol w:w="969"/>
        <w:gridCol w:w="1027"/>
        <w:gridCol w:w="1004"/>
        <w:gridCol w:w="1119"/>
        <w:gridCol w:w="1131"/>
        <w:gridCol w:w="1027"/>
        <w:gridCol w:w="1292"/>
        <w:gridCol w:w="8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检查单位数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生产管理合规单位数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出厂餐饮具检测情况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依法调查处理单位数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案件数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罚款金额（万元）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用水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</w:rPr>
              <w:t>a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使用洗涤剂、消毒剂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</w:rPr>
              <w:t>b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消毒餐饮具逐批检验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  <w:t>餐饮具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随附消毒合格证明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出厂检验记录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</w:rPr>
              <w:t>c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  <w:t>出厂检验记录保存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餐饮具包装标注相关内容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</w:rPr>
              <w:t>d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  <w:vertAlign w:val="superscript"/>
                <w:lang w:eastAsia="zh-CN"/>
              </w:rPr>
              <w:t>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  <w:t>检测</w:t>
            </w: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餐饮具套数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0"/>
                <w:sz w:val="21"/>
                <w:szCs w:val="21"/>
              </w:rPr>
              <w:t>检测合格套数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709"/>
        </w:tabs>
        <w:spacing w:before="156" w:beforeLines="50" w:line="240" w:lineRule="exact"/>
        <w:ind w:right="-330" w:rightChars="-103"/>
        <w:jc w:val="left"/>
        <w:rPr>
          <w:rFonts w:hint="default" w:ascii="华文仿宋" w:hAnsi="华文仿宋" w:eastAsia="华文仿宋"/>
          <w:color w:val="auto"/>
          <w:sz w:val="21"/>
          <w:szCs w:val="21"/>
        </w:rPr>
      </w:pPr>
      <w:r>
        <w:rPr>
          <w:rFonts w:hint="default" w:ascii="华文仿宋" w:hAnsi="华文仿宋" w:eastAsia="华文仿宋"/>
          <w:color w:val="auto"/>
          <w:sz w:val="21"/>
          <w:szCs w:val="21"/>
        </w:rPr>
        <w:t xml:space="preserve">   </w:t>
      </w:r>
    </w:p>
    <w:p>
      <w:pPr>
        <w:tabs>
          <w:tab w:val="left" w:pos="709"/>
        </w:tabs>
        <w:spacing w:before="156" w:beforeLines="50" w:line="240" w:lineRule="exact"/>
        <w:ind w:right="-330" w:rightChars="-103"/>
        <w:jc w:val="left"/>
        <w:rPr>
          <w:rFonts w:ascii="华文仿宋" w:hAnsi="华文仿宋" w:eastAsia="华文仿宋"/>
          <w:color w:val="auto"/>
          <w:sz w:val="21"/>
          <w:szCs w:val="21"/>
        </w:rPr>
      </w:pPr>
      <w:r>
        <w:rPr>
          <w:rFonts w:hint="default" w:ascii="华文仿宋" w:hAnsi="华文仿宋" w:eastAsia="华文仿宋"/>
          <w:color w:val="auto"/>
          <w:sz w:val="21"/>
          <w:szCs w:val="21"/>
        </w:rPr>
        <w:t xml:space="preserve"> 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a</w:t>
      </w:r>
      <w:r>
        <w:rPr>
          <w:rFonts w:ascii="华文仿宋" w:hAnsi="华文仿宋" w:eastAsia="华文仿宋"/>
          <w:color w:val="auto"/>
          <w:sz w:val="21"/>
          <w:szCs w:val="21"/>
        </w:rPr>
        <w:t>.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用水由持有效卫生许可证供水单位供应的，原则上视为合规；用水</w:t>
      </w:r>
      <w:r>
        <w:rPr>
          <w:rFonts w:hint="default" w:ascii="华文仿宋" w:hAnsi="华文仿宋" w:eastAsia="华文仿宋"/>
          <w:color w:val="auto"/>
          <w:sz w:val="21"/>
          <w:szCs w:val="21"/>
        </w:rPr>
        <w:t>为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自建设施供水或其他方式供应的，检查水质检验报告，判定合规情况。</w:t>
      </w:r>
    </w:p>
    <w:p>
      <w:pPr>
        <w:spacing w:line="240" w:lineRule="exact"/>
        <w:rPr>
          <w:rFonts w:hint="eastAsia" w:ascii="华文仿宋" w:hAnsi="华文仿宋" w:eastAsia="华文仿宋"/>
          <w:color w:val="auto"/>
          <w:sz w:val="21"/>
          <w:szCs w:val="21"/>
        </w:rPr>
      </w:pPr>
      <w:r>
        <w:rPr>
          <w:rFonts w:hint="default" w:ascii="华文仿宋" w:hAnsi="华文仿宋" w:eastAsia="华文仿宋"/>
          <w:color w:val="auto"/>
          <w:sz w:val="21"/>
          <w:szCs w:val="21"/>
        </w:rPr>
        <w:t xml:space="preserve">    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b</w:t>
      </w:r>
      <w:r>
        <w:rPr>
          <w:rFonts w:ascii="华文仿宋" w:hAnsi="华文仿宋" w:eastAsia="华文仿宋"/>
          <w:color w:val="auto"/>
          <w:sz w:val="21"/>
          <w:szCs w:val="21"/>
        </w:rPr>
        <w:t>.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使用的洗涤剂和消毒剂均符合规定的判定为合规单位，有一项不符合规定的判定为不合规单位。</w:t>
      </w:r>
    </w:p>
    <w:p>
      <w:pPr>
        <w:spacing w:line="240" w:lineRule="exact"/>
        <w:ind w:right="-186" w:rightChars="-58"/>
        <w:rPr>
          <w:rFonts w:hint="eastAsia" w:ascii="华文仿宋" w:hAnsi="华文仿宋" w:eastAsia="华文仿宋"/>
          <w:color w:val="auto"/>
          <w:sz w:val="21"/>
          <w:szCs w:val="21"/>
        </w:rPr>
      </w:pPr>
      <w:r>
        <w:rPr>
          <w:rFonts w:hint="default" w:ascii="华文仿宋" w:hAnsi="华文仿宋" w:eastAsia="华文仿宋"/>
          <w:color w:val="auto"/>
          <w:sz w:val="21"/>
          <w:szCs w:val="21"/>
        </w:rPr>
        <w:t xml:space="preserve">    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c.指建立出厂检验记录并记录出厂餐具饮具数量、消毒日期和批号、使用期限、出厂日期以及委托方名称、地址、联系方式等内容，缺项视为不合规。</w:t>
      </w:r>
    </w:p>
    <w:p>
      <w:pPr>
        <w:tabs>
          <w:tab w:val="left" w:pos="709"/>
        </w:tabs>
        <w:spacing w:line="320" w:lineRule="exact"/>
        <w:ind w:left="706" w:leftChars="177" w:hanging="140" w:hangingChars="67"/>
        <w:jc w:val="left"/>
        <w:rPr>
          <w:rFonts w:hint="eastAsia" w:ascii="华文仿宋" w:hAnsi="华文仿宋" w:eastAsia="华文仿宋"/>
          <w:bCs/>
          <w:sz w:val="21"/>
          <w:szCs w:val="21"/>
          <w:lang w:eastAsia="zh-CN"/>
        </w:rPr>
      </w:pPr>
      <w:r>
        <w:rPr>
          <w:rFonts w:hint="default" w:ascii="华文仿宋" w:hAnsi="华文仿宋" w:eastAsia="华文仿宋"/>
          <w:color w:val="auto"/>
          <w:sz w:val="21"/>
          <w:szCs w:val="21"/>
        </w:rPr>
        <w:t xml:space="preserve">    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d.指消毒后的餐</w:t>
      </w:r>
      <w:r>
        <w:rPr>
          <w:rFonts w:hint="default" w:ascii="华文仿宋" w:hAnsi="华文仿宋" w:eastAsia="华文仿宋"/>
          <w:color w:val="auto"/>
          <w:sz w:val="21"/>
          <w:szCs w:val="21"/>
        </w:rPr>
        <w:t>具</w:t>
      </w:r>
      <w:r>
        <w:rPr>
          <w:rFonts w:hint="eastAsia" w:ascii="华文仿宋" w:hAnsi="华文仿宋" w:eastAsia="华文仿宋"/>
          <w:color w:val="auto"/>
          <w:sz w:val="21"/>
          <w:szCs w:val="21"/>
        </w:rPr>
        <w:t>饮具在独立包装上标注单位名称、地址、联系方式、消毒日期和批号以及使用期限等内容，缺项视为不合规</w:t>
      </w:r>
      <w:r>
        <w:rPr>
          <w:rFonts w:hint="eastAsia" w:ascii="华文仿宋" w:hAnsi="华文仿宋" w:eastAsia="华文仿宋"/>
          <w:color w:val="auto"/>
          <w:sz w:val="21"/>
          <w:szCs w:val="21"/>
          <w:lang w:eastAsia="zh-CN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737" w:right="567" w:bottom="737" w:left="567" w:header="851" w:footer="992" w:gutter="0"/>
      <w:cols w:space="720" w:num="1"/>
      <w:docGrid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- 10 -</w: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321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A1CD9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60C66"/>
    <w:rsid w:val="00172ADC"/>
    <w:rsid w:val="00182F97"/>
    <w:rsid w:val="0018374C"/>
    <w:rsid w:val="001853D2"/>
    <w:rsid w:val="00185C39"/>
    <w:rsid w:val="001907E8"/>
    <w:rsid w:val="001909C4"/>
    <w:rsid w:val="00192793"/>
    <w:rsid w:val="001A2D32"/>
    <w:rsid w:val="001C430F"/>
    <w:rsid w:val="001E61D9"/>
    <w:rsid w:val="001F3009"/>
    <w:rsid w:val="0020598F"/>
    <w:rsid w:val="002302E2"/>
    <w:rsid w:val="00236832"/>
    <w:rsid w:val="002437D9"/>
    <w:rsid w:val="00255C39"/>
    <w:rsid w:val="00273981"/>
    <w:rsid w:val="00274FD5"/>
    <w:rsid w:val="002771E1"/>
    <w:rsid w:val="00282CB2"/>
    <w:rsid w:val="00283992"/>
    <w:rsid w:val="00284599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0AEF"/>
    <w:rsid w:val="004D2342"/>
    <w:rsid w:val="004D3157"/>
    <w:rsid w:val="004D324B"/>
    <w:rsid w:val="004F21A2"/>
    <w:rsid w:val="004F79E4"/>
    <w:rsid w:val="00500B20"/>
    <w:rsid w:val="00503F2E"/>
    <w:rsid w:val="00542332"/>
    <w:rsid w:val="005449B6"/>
    <w:rsid w:val="0054534A"/>
    <w:rsid w:val="0055474B"/>
    <w:rsid w:val="00595FFA"/>
    <w:rsid w:val="00596C82"/>
    <w:rsid w:val="00596ECE"/>
    <w:rsid w:val="00597DD5"/>
    <w:rsid w:val="005E387F"/>
    <w:rsid w:val="005E4F09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4CC9"/>
    <w:rsid w:val="006936DA"/>
    <w:rsid w:val="006A1856"/>
    <w:rsid w:val="006C4861"/>
    <w:rsid w:val="006D7D21"/>
    <w:rsid w:val="006E1FBA"/>
    <w:rsid w:val="00700D71"/>
    <w:rsid w:val="00705972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0F1D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B1A2C"/>
    <w:rsid w:val="008C7C8B"/>
    <w:rsid w:val="008D5528"/>
    <w:rsid w:val="008E2424"/>
    <w:rsid w:val="008E49A3"/>
    <w:rsid w:val="008E4F50"/>
    <w:rsid w:val="008F66CC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19B8"/>
    <w:rsid w:val="009A2BD1"/>
    <w:rsid w:val="009B2C56"/>
    <w:rsid w:val="009B4F09"/>
    <w:rsid w:val="009F5B14"/>
    <w:rsid w:val="00A12D62"/>
    <w:rsid w:val="00A25C33"/>
    <w:rsid w:val="00A36256"/>
    <w:rsid w:val="00A5360E"/>
    <w:rsid w:val="00A56596"/>
    <w:rsid w:val="00A62EE4"/>
    <w:rsid w:val="00A71A86"/>
    <w:rsid w:val="00A83346"/>
    <w:rsid w:val="00A85A8B"/>
    <w:rsid w:val="00A92AFF"/>
    <w:rsid w:val="00AB06E8"/>
    <w:rsid w:val="00AF1143"/>
    <w:rsid w:val="00AF3B47"/>
    <w:rsid w:val="00B1045D"/>
    <w:rsid w:val="00B15138"/>
    <w:rsid w:val="00B252A7"/>
    <w:rsid w:val="00B4035E"/>
    <w:rsid w:val="00B4394B"/>
    <w:rsid w:val="00B63616"/>
    <w:rsid w:val="00B706D2"/>
    <w:rsid w:val="00B748BC"/>
    <w:rsid w:val="00BA35CD"/>
    <w:rsid w:val="00BB6575"/>
    <w:rsid w:val="00BC0A47"/>
    <w:rsid w:val="00BC54C2"/>
    <w:rsid w:val="00BC79B4"/>
    <w:rsid w:val="00BD4FA2"/>
    <w:rsid w:val="00BE40AE"/>
    <w:rsid w:val="00C059FD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9292D"/>
    <w:rsid w:val="00CA5016"/>
    <w:rsid w:val="00CB0E40"/>
    <w:rsid w:val="00CB4F78"/>
    <w:rsid w:val="00CC749C"/>
    <w:rsid w:val="00CD3414"/>
    <w:rsid w:val="00CF2559"/>
    <w:rsid w:val="00CF6CD1"/>
    <w:rsid w:val="00D0065B"/>
    <w:rsid w:val="00D0408E"/>
    <w:rsid w:val="00D13AAB"/>
    <w:rsid w:val="00D322C6"/>
    <w:rsid w:val="00D32EE7"/>
    <w:rsid w:val="00D46C5D"/>
    <w:rsid w:val="00D75DAA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92F43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473F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0604"/>
    <w:rsid w:val="00FB2A88"/>
    <w:rsid w:val="00FC5193"/>
    <w:rsid w:val="00FC6E4B"/>
    <w:rsid w:val="00FE7E64"/>
    <w:rsid w:val="17ED7516"/>
    <w:rsid w:val="1A643C5B"/>
    <w:rsid w:val="1EC91910"/>
    <w:rsid w:val="1EDA0210"/>
    <w:rsid w:val="2BF000A4"/>
    <w:rsid w:val="3BEE70BA"/>
    <w:rsid w:val="3CED75D0"/>
    <w:rsid w:val="432E04DD"/>
    <w:rsid w:val="47B56E8B"/>
    <w:rsid w:val="4FD7149E"/>
    <w:rsid w:val="507150CB"/>
    <w:rsid w:val="602D40D8"/>
    <w:rsid w:val="6675452D"/>
    <w:rsid w:val="668D2E4E"/>
    <w:rsid w:val="6DE263AD"/>
    <w:rsid w:val="778513B0"/>
    <w:rsid w:val="780402C5"/>
    <w:rsid w:val="7D0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qFormat/>
    <w:uiPriority w:val="0"/>
    <w:rPr>
      <w:rFonts w:ascii="Times New Roman" w:hAnsi="Times New Roman"/>
      <w:b/>
      <w:bCs/>
      <w:szCs w:val="24"/>
    </w:rPr>
  </w:style>
  <w:style w:type="paragraph" w:styleId="4">
    <w:name w:val="annotation text"/>
    <w:basedOn w:val="1"/>
    <w:link w:val="25"/>
    <w:unhideWhenUsed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5">
    <w:name w:val="Plain Text"/>
    <w:basedOn w:val="1"/>
    <w:link w:val="36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link w:val="29"/>
    <w:qFormat/>
    <w:uiPriority w:val="0"/>
    <w:pPr>
      <w:ind w:left="100" w:leftChars="2500"/>
    </w:pPr>
    <w:rPr>
      <w:rFonts w:eastAsia="宋体"/>
      <w:sz w:val="21"/>
    </w:rPr>
  </w:style>
  <w:style w:type="paragraph" w:styleId="7">
    <w:name w:val="Balloon Text"/>
    <w:basedOn w:val="1"/>
    <w:link w:val="23"/>
    <w:qFormat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9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0">
    <w:name w:val="Subtitle"/>
    <w:basedOn w:val="1"/>
    <w:next w:val="1"/>
    <w:link w:val="3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table" w:styleId="17">
    <w:name w:val="Table Grid"/>
    <w:basedOn w:val="1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访问过的超链接"/>
    <w:unhideWhenUsed/>
    <w:qFormat/>
    <w:uiPriority w:val="99"/>
    <w:rPr>
      <w:color w:val="800080"/>
      <w:u w:val="single"/>
    </w:rPr>
  </w:style>
  <w:style w:type="character" w:customStyle="1" w:styleId="19">
    <w:name w:val="批注主题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Char2"/>
    <w:semiHidden/>
    <w:qFormat/>
    <w:uiPriority w:val="99"/>
    <w:rPr>
      <w:kern w:val="2"/>
      <w:sz w:val="21"/>
      <w:szCs w:val="22"/>
    </w:rPr>
  </w:style>
  <w:style w:type="character" w:customStyle="1" w:styleId="21">
    <w:name w:val="页脚 Char1"/>
    <w:qFormat/>
    <w:uiPriority w:val="0"/>
    <w:rPr>
      <w:kern w:val="2"/>
      <w:sz w:val="18"/>
      <w:szCs w:val="18"/>
    </w:rPr>
  </w:style>
  <w:style w:type="character" w:customStyle="1" w:styleId="22">
    <w:name w:val="批注主题 Char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4">
    <w:name w:val="页脚 Char3"/>
    <w:semiHidden/>
    <w:qFormat/>
    <w:uiPriority w:val="99"/>
    <w:rPr>
      <w:kern w:val="2"/>
      <w:sz w:val="18"/>
      <w:szCs w:val="18"/>
    </w:rPr>
  </w:style>
  <w:style w:type="character" w:customStyle="1" w:styleId="25">
    <w:name w:val="批注文字 Char3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apple-converted-space"/>
    <w:qFormat/>
    <w:uiPriority w:val="0"/>
  </w:style>
  <w:style w:type="character" w:customStyle="1" w:styleId="27">
    <w:name w:val="页脚 Char2"/>
    <w:qFormat/>
    <w:uiPriority w:val="0"/>
    <w:rPr>
      <w:kern w:val="2"/>
      <w:sz w:val="18"/>
      <w:szCs w:val="18"/>
    </w:rPr>
  </w:style>
  <w:style w:type="character" w:customStyle="1" w:styleId="28">
    <w:name w:val="日期 Char4"/>
    <w:qFormat/>
    <w:uiPriority w:val="99"/>
    <w:rPr>
      <w:rFonts w:eastAsia="仿宋_GB2312"/>
      <w:kern w:val="2"/>
      <w:sz w:val="32"/>
      <w:szCs w:val="24"/>
    </w:rPr>
  </w:style>
  <w:style w:type="character" w:customStyle="1" w:styleId="29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30">
    <w:name w:val="纯文本 Char1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批注框文本 Char3"/>
    <w:semiHidden/>
    <w:qFormat/>
    <w:uiPriority w:val="99"/>
    <w:rPr>
      <w:kern w:val="2"/>
      <w:sz w:val="18"/>
      <w:szCs w:val="18"/>
    </w:rPr>
  </w:style>
  <w:style w:type="character" w:customStyle="1" w:styleId="32">
    <w:name w:val="批注文字 Char"/>
    <w:qFormat/>
    <w:uiPriority w:val="0"/>
    <w:rPr>
      <w:kern w:val="2"/>
      <w:sz w:val="21"/>
      <w:szCs w:val="24"/>
    </w:rPr>
  </w:style>
  <w:style w:type="character" w:customStyle="1" w:styleId="33">
    <w:name w:val="批注框文本 Char4"/>
    <w:semiHidden/>
    <w:qFormat/>
    <w:uiPriority w:val="99"/>
    <w:rPr>
      <w:kern w:val="2"/>
      <w:sz w:val="18"/>
      <w:szCs w:val="18"/>
    </w:rPr>
  </w:style>
  <w:style w:type="character" w:customStyle="1" w:styleId="34">
    <w:name w:val="副标题 Char2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副标题 Char"/>
    <w:link w:val="10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36">
    <w:name w:val="纯文本 Char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39">
    <w:name w:val="批注主题 Char3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0">
    <w:name w:val="批注框文本 Char5"/>
    <w:semiHidden/>
    <w:qFormat/>
    <w:uiPriority w:val="99"/>
    <w:rPr>
      <w:kern w:val="2"/>
      <w:sz w:val="18"/>
      <w:szCs w:val="18"/>
    </w:rPr>
  </w:style>
  <w:style w:type="character" w:customStyle="1" w:styleId="4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纯文本 Char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日期 Char1"/>
    <w:qFormat/>
    <w:uiPriority w:val="0"/>
    <w:rPr>
      <w:kern w:val="2"/>
      <w:sz w:val="21"/>
      <w:szCs w:val="24"/>
    </w:rPr>
  </w:style>
  <w:style w:type="character" w:customStyle="1" w:styleId="45">
    <w:name w:val="日期 Char3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2"/>
    <w:qFormat/>
    <w:uiPriority w:val="0"/>
    <w:rPr>
      <w:kern w:val="2"/>
      <w:sz w:val="18"/>
      <w:szCs w:val="18"/>
    </w:rPr>
  </w:style>
  <w:style w:type="character" w:customStyle="1" w:styleId="47">
    <w:name w:val="日期 Char2"/>
    <w:qFormat/>
    <w:uiPriority w:val="99"/>
    <w:rPr>
      <w:rFonts w:eastAsia="仿宋_GB2312"/>
      <w:kern w:val="2"/>
      <w:sz w:val="32"/>
      <w:szCs w:val="24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纯文本 Char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批注文字 Char1"/>
    <w:qFormat/>
    <w:uiPriority w:val="0"/>
    <w:rPr>
      <w:kern w:val="2"/>
      <w:sz w:val="21"/>
      <w:szCs w:val="22"/>
    </w:rPr>
  </w:style>
  <w:style w:type="character" w:customStyle="1" w:styleId="51">
    <w:name w:val="批注主题 Char1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页脚 Char"/>
    <w:link w:val="8"/>
    <w:qFormat/>
    <w:uiPriority w:val="0"/>
    <w:rPr>
      <w:kern w:val="2"/>
      <w:sz w:val="18"/>
      <w:szCs w:val="18"/>
    </w:rPr>
  </w:style>
  <w:style w:type="paragraph" w:customStyle="1" w:styleId="54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55">
    <w:name w:val="_Style 7"/>
    <w:next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Char Char1"/>
    <w:basedOn w:val="1"/>
    <w:qFormat/>
    <w:uiPriority w:val="0"/>
    <w:rPr>
      <w:rFonts w:eastAsia="宋体"/>
      <w:sz w:val="21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教材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/>
      <w:sz w:val="24"/>
    </w:rPr>
  </w:style>
  <w:style w:type="paragraph" w:customStyle="1" w:styleId="59">
    <w:name w:val="修订1"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61">
    <w:name w:val="_Style 5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63">
    <w:name w:val="_Style 15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_Style 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66">
    <w:name w:val="_Style 16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样式1"/>
    <w:basedOn w:val="1"/>
    <w:qFormat/>
    <w:uiPriority w:val="0"/>
    <w:rPr>
      <w:rFonts w:ascii="仿宋_GB2312"/>
      <w:sz w:val="28"/>
    </w:rPr>
  </w:style>
  <w:style w:type="paragraph" w:customStyle="1" w:styleId="6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6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0">
    <w:name w:val="中等深浅网格 11"/>
    <w:basedOn w:val="16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6A296-5D1D-4E13-ACC2-062A2B5D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3</Pages>
  <Words>181</Words>
  <Characters>1037</Characters>
  <Lines>8</Lines>
  <Paragraphs>2</Paragraphs>
  <TotalTime>0</TotalTime>
  <ScaleCrop>false</ScaleCrop>
  <LinksUpToDate>false</LinksUpToDate>
  <CharactersWithSpaces>1216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vv</dc:creator>
  <cp:lastModifiedBy>r</cp:lastModifiedBy>
  <cp:lastPrinted>2018-02-26T05:54:00Z</cp:lastPrinted>
  <dcterms:modified xsi:type="dcterms:W3CDTF">2020-04-14T03:00:46Z</dcterms:modified>
  <dc:title>国家卫生和计划生育委员会办公厅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