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80" w:rsidRDefault="00394D80" w:rsidP="00394D80">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7</w:t>
      </w:r>
    </w:p>
    <w:p w:rsidR="00394D80" w:rsidRDefault="00394D80" w:rsidP="001C6CE7">
      <w:pPr>
        <w:spacing w:beforeLines="20" w:afterLines="20" w:line="580" w:lineRule="exact"/>
        <w:jc w:val="center"/>
        <w:rPr>
          <w:rFonts w:ascii="方正小标宋_GBK" w:eastAsia="方正小标宋_GBK" w:hAnsi="仿宋"/>
          <w:sz w:val="36"/>
          <w:szCs w:val="36"/>
        </w:rPr>
      </w:pPr>
    </w:p>
    <w:p w:rsidR="00394D80" w:rsidRDefault="00394D80" w:rsidP="001C6CE7">
      <w:pPr>
        <w:spacing w:beforeLines="20" w:afterLines="20"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2020年第三季度市民就医不满意原因反馈</w:t>
      </w:r>
    </w:p>
    <w:p w:rsidR="00394D80" w:rsidRDefault="00394D80" w:rsidP="001C6CE7">
      <w:pPr>
        <w:spacing w:beforeLines="20" w:afterLines="20"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情况</w:t>
      </w:r>
    </w:p>
    <w:tbl>
      <w:tblPr>
        <w:tblW w:w="0" w:type="auto"/>
        <w:tblInd w:w="23" w:type="dxa"/>
        <w:tblLayout w:type="fixed"/>
        <w:tblLook w:val="0000"/>
      </w:tblPr>
      <w:tblGrid>
        <w:gridCol w:w="1065"/>
        <w:gridCol w:w="1080"/>
        <w:gridCol w:w="930"/>
        <w:gridCol w:w="1140"/>
        <w:gridCol w:w="795"/>
        <w:gridCol w:w="1185"/>
        <w:gridCol w:w="825"/>
        <w:gridCol w:w="915"/>
        <w:gridCol w:w="1155"/>
      </w:tblGrid>
      <w:tr w:rsidR="00394D80" w:rsidTr="00536D0B">
        <w:trPr>
          <w:trHeight w:val="585"/>
        </w:trPr>
        <w:tc>
          <w:tcPr>
            <w:tcW w:w="1065"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举办</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主体</w:t>
            </w:r>
          </w:p>
        </w:tc>
        <w:tc>
          <w:tcPr>
            <w:tcW w:w="1080"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环境与</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设施</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30"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交通与</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停车</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40"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医务人员</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服务态度</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795"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排队时间</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85"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医生、护士技术水平（%）</w:t>
            </w:r>
          </w:p>
        </w:tc>
        <w:tc>
          <w:tcPr>
            <w:tcW w:w="825"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隐私保护</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15"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投诉</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处理</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55" w:type="dxa"/>
            <w:tcBorders>
              <w:top w:val="single" w:sz="4" w:space="0" w:color="auto"/>
              <w:left w:val="nil"/>
              <w:bottom w:val="single" w:sz="4" w:space="0" w:color="auto"/>
              <w:right w:val="nil"/>
            </w:tcBorders>
            <w:vAlign w:val="center"/>
          </w:tcPr>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医院信息</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公开</w:t>
            </w:r>
          </w:p>
          <w:p w:rsidR="00394D80" w:rsidRDefault="00394D80"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r>
      <w:tr w:rsidR="00394D80" w:rsidTr="00536D0B">
        <w:trPr>
          <w:trHeight w:val="270"/>
        </w:trPr>
        <w:tc>
          <w:tcPr>
            <w:tcW w:w="1065" w:type="dxa"/>
            <w:tcBorders>
              <w:top w:val="nil"/>
              <w:left w:val="nil"/>
              <w:bottom w:val="nil"/>
              <w:right w:val="nil"/>
            </w:tcBorders>
            <w:vAlign w:val="bottom"/>
          </w:tcPr>
          <w:p w:rsidR="00394D80" w:rsidRDefault="00394D80" w:rsidP="00536D0B">
            <w:pPr>
              <w:widowControl/>
              <w:spacing w:line="360" w:lineRule="auto"/>
              <w:jc w:val="center"/>
              <w:rPr>
                <w:rFonts w:ascii="宋体" w:hAnsi="宋体" w:cs="宋体"/>
                <w:kern w:val="0"/>
                <w:sz w:val="23"/>
                <w:szCs w:val="23"/>
              </w:rPr>
            </w:pPr>
            <w:r>
              <w:rPr>
                <w:rFonts w:ascii="宋体" w:hAnsi="宋体" w:cs="宋体" w:hint="eastAsia"/>
                <w:kern w:val="0"/>
                <w:sz w:val="23"/>
                <w:szCs w:val="23"/>
              </w:rPr>
              <w:t>公立</w:t>
            </w:r>
          </w:p>
        </w:tc>
        <w:tc>
          <w:tcPr>
            <w:tcW w:w="1080" w:type="dxa"/>
            <w:tcBorders>
              <w:top w:val="nil"/>
              <w:left w:val="nil"/>
              <w:bottom w:val="nil"/>
              <w:right w:val="nil"/>
            </w:tcBorders>
            <w:vAlign w:val="center"/>
          </w:tcPr>
          <w:p w:rsidR="00394D80" w:rsidRDefault="00394D80" w:rsidP="00536D0B">
            <w:pPr>
              <w:widowControl/>
              <w:jc w:val="center"/>
              <w:rPr>
                <w:rFonts w:ascii="宋体" w:hAnsi="宋体" w:cs="Calibri"/>
                <w:kern w:val="0"/>
                <w:sz w:val="23"/>
                <w:szCs w:val="23"/>
              </w:rPr>
            </w:pPr>
            <w:r>
              <w:rPr>
                <w:rFonts w:ascii="宋体" w:hAnsi="宋体" w:hint="eastAsia"/>
                <w:sz w:val="23"/>
                <w:szCs w:val="23"/>
              </w:rPr>
              <w:t>13.9</w:t>
            </w:r>
          </w:p>
        </w:tc>
        <w:tc>
          <w:tcPr>
            <w:tcW w:w="930"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8.0</w:t>
            </w:r>
          </w:p>
        </w:tc>
        <w:tc>
          <w:tcPr>
            <w:tcW w:w="1140"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8.2</w:t>
            </w:r>
          </w:p>
        </w:tc>
        <w:tc>
          <w:tcPr>
            <w:tcW w:w="79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6.7</w:t>
            </w:r>
          </w:p>
        </w:tc>
        <w:tc>
          <w:tcPr>
            <w:tcW w:w="118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2.9</w:t>
            </w:r>
          </w:p>
        </w:tc>
        <w:tc>
          <w:tcPr>
            <w:tcW w:w="82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1.0</w:t>
            </w:r>
          </w:p>
        </w:tc>
        <w:tc>
          <w:tcPr>
            <w:tcW w:w="91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1.2</w:t>
            </w:r>
          </w:p>
        </w:tc>
        <w:tc>
          <w:tcPr>
            <w:tcW w:w="115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Pr>
                <w:rFonts w:ascii="宋体" w:hAnsi="宋体" w:hint="eastAsia"/>
                <w:sz w:val="23"/>
                <w:szCs w:val="23"/>
              </w:rPr>
              <w:t>0.5</w:t>
            </w:r>
          </w:p>
        </w:tc>
      </w:tr>
      <w:tr w:rsidR="00394D80" w:rsidTr="00536D0B">
        <w:trPr>
          <w:trHeight w:val="270"/>
        </w:trPr>
        <w:tc>
          <w:tcPr>
            <w:tcW w:w="1065" w:type="dxa"/>
            <w:tcBorders>
              <w:top w:val="nil"/>
              <w:left w:val="nil"/>
              <w:bottom w:val="nil"/>
              <w:right w:val="nil"/>
            </w:tcBorders>
            <w:vAlign w:val="bottom"/>
          </w:tcPr>
          <w:p w:rsidR="00394D80" w:rsidRDefault="00394D80" w:rsidP="00536D0B">
            <w:pPr>
              <w:widowControl/>
              <w:spacing w:line="360" w:lineRule="auto"/>
              <w:jc w:val="center"/>
              <w:rPr>
                <w:rFonts w:ascii="宋体" w:hAnsi="宋体" w:cs="宋体"/>
                <w:kern w:val="0"/>
                <w:sz w:val="23"/>
                <w:szCs w:val="23"/>
              </w:rPr>
            </w:pPr>
            <w:r>
              <w:rPr>
                <w:rFonts w:ascii="宋体" w:hAnsi="宋体" w:cs="宋体" w:hint="eastAsia"/>
                <w:kern w:val="0"/>
                <w:sz w:val="23"/>
                <w:szCs w:val="23"/>
              </w:rPr>
              <w:t>非公立</w:t>
            </w:r>
          </w:p>
        </w:tc>
        <w:tc>
          <w:tcPr>
            <w:tcW w:w="1080"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7.5</w:t>
            </w:r>
          </w:p>
        </w:tc>
        <w:tc>
          <w:tcPr>
            <w:tcW w:w="930"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8.7</w:t>
            </w:r>
          </w:p>
        </w:tc>
        <w:tc>
          <w:tcPr>
            <w:tcW w:w="1140"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7.0</w:t>
            </w:r>
          </w:p>
        </w:tc>
        <w:tc>
          <w:tcPr>
            <w:tcW w:w="79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7.6</w:t>
            </w:r>
          </w:p>
        </w:tc>
        <w:tc>
          <w:tcPr>
            <w:tcW w:w="118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8.8</w:t>
            </w:r>
          </w:p>
        </w:tc>
        <w:tc>
          <w:tcPr>
            <w:tcW w:w="82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1.9</w:t>
            </w:r>
          </w:p>
        </w:tc>
        <w:tc>
          <w:tcPr>
            <w:tcW w:w="91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2.0</w:t>
            </w:r>
          </w:p>
        </w:tc>
        <w:tc>
          <w:tcPr>
            <w:tcW w:w="1155" w:type="dxa"/>
            <w:tcBorders>
              <w:top w:val="nil"/>
              <w:left w:val="nil"/>
              <w:bottom w:val="nil"/>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1.1</w:t>
            </w:r>
          </w:p>
        </w:tc>
      </w:tr>
      <w:tr w:rsidR="00394D80" w:rsidTr="00536D0B">
        <w:trPr>
          <w:trHeight w:val="270"/>
        </w:trPr>
        <w:tc>
          <w:tcPr>
            <w:tcW w:w="1065" w:type="dxa"/>
            <w:tcBorders>
              <w:top w:val="nil"/>
              <w:left w:val="nil"/>
              <w:bottom w:val="single" w:sz="4" w:space="0" w:color="auto"/>
              <w:right w:val="nil"/>
            </w:tcBorders>
            <w:vAlign w:val="bottom"/>
          </w:tcPr>
          <w:p w:rsidR="00394D80" w:rsidRDefault="00394D80" w:rsidP="00536D0B">
            <w:pPr>
              <w:widowControl/>
              <w:spacing w:line="360" w:lineRule="auto"/>
              <w:jc w:val="center"/>
              <w:rPr>
                <w:rFonts w:ascii="宋体" w:hAnsi="宋体" w:cs="宋体"/>
                <w:kern w:val="0"/>
                <w:sz w:val="23"/>
                <w:szCs w:val="23"/>
              </w:rPr>
            </w:pPr>
            <w:r>
              <w:rPr>
                <w:rFonts w:ascii="宋体" w:hAnsi="宋体" w:cs="宋体" w:hint="eastAsia"/>
                <w:kern w:val="0"/>
                <w:sz w:val="23"/>
                <w:szCs w:val="23"/>
              </w:rPr>
              <w:t>全市</w:t>
            </w:r>
          </w:p>
        </w:tc>
        <w:tc>
          <w:tcPr>
            <w:tcW w:w="1080" w:type="dxa"/>
            <w:tcBorders>
              <w:top w:val="nil"/>
              <w:left w:val="nil"/>
              <w:bottom w:val="single" w:sz="4" w:space="0" w:color="auto"/>
              <w:right w:val="nil"/>
            </w:tcBorders>
            <w:vAlign w:val="center"/>
          </w:tcPr>
          <w:p w:rsidR="00394D80" w:rsidRDefault="00394D80" w:rsidP="00536D0B">
            <w:pPr>
              <w:widowControl/>
              <w:jc w:val="center"/>
              <w:rPr>
                <w:rFonts w:ascii="宋体" w:hAnsi="宋体" w:cs="Calibri"/>
                <w:kern w:val="0"/>
                <w:sz w:val="23"/>
                <w:szCs w:val="23"/>
              </w:rPr>
            </w:pPr>
            <w:r w:rsidRPr="00EC347B">
              <w:rPr>
                <w:rFonts w:ascii="仿宋" w:eastAsia="仿宋" w:hAnsi="仿宋"/>
                <w:color w:val="000000"/>
                <w:sz w:val="23"/>
                <w:szCs w:val="23"/>
              </w:rPr>
              <w:t>12.6</w:t>
            </w:r>
          </w:p>
        </w:tc>
        <w:tc>
          <w:tcPr>
            <w:tcW w:w="930"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8.2</w:t>
            </w:r>
          </w:p>
        </w:tc>
        <w:tc>
          <w:tcPr>
            <w:tcW w:w="1140"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7.9</w:t>
            </w:r>
          </w:p>
        </w:tc>
        <w:tc>
          <w:tcPr>
            <w:tcW w:w="795"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6.9</w:t>
            </w:r>
          </w:p>
        </w:tc>
        <w:tc>
          <w:tcPr>
            <w:tcW w:w="1185"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4.0</w:t>
            </w:r>
          </w:p>
        </w:tc>
        <w:tc>
          <w:tcPr>
            <w:tcW w:w="825"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1.2</w:t>
            </w:r>
          </w:p>
        </w:tc>
        <w:tc>
          <w:tcPr>
            <w:tcW w:w="915"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1.4</w:t>
            </w:r>
          </w:p>
        </w:tc>
        <w:tc>
          <w:tcPr>
            <w:tcW w:w="1155" w:type="dxa"/>
            <w:tcBorders>
              <w:top w:val="nil"/>
              <w:left w:val="nil"/>
              <w:bottom w:val="single" w:sz="4" w:space="0" w:color="auto"/>
              <w:right w:val="nil"/>
            </w:tcBorders>
            <w:vAlign w:val="center"/>
          </w:tcPr>
          <w:p w:rsidR="00394D80" w:rsidRDefault="00394D80" w:rsidP="00536D0B">
            <w:pPr>
              <w:jc w:val="center"/>
              <w:rPr>
                <w:rFonts w:ascii="宋体" w:hAnsi="宋体" w:cs="Calibri"/>
                <w:sz w:val="23"/>
                <w:szCs w:val="23"/>
              </w:rPr>
            </w:pPr>
            <w:r w:rsidRPr="00EC347B">
              <w:rPr>
                <w:rFonts w:ascii="仿宋" w:eastAsia="仿宋" w:hAnsi="仿宋"/>
                <w:color w:val="000000"/>
                <w:sz w:val="23"/>
                <w:szCs w:val="23"/>
              </w:rPr>
              <w:t>0.6</w:t>
            </w:r>
          </w:p>
        </w:tc>
      </w:tr>
    </w:tbl>
    <w:p w:rsidR="00394D80" w:rsidRDefault="00394D80" w:rsidP="001C6CE7">
      <w:pPr>
        <w:spacing w:beforeLines="20" w:afterLines="20" w:line="360" w:lineRule="auto"/>
        <w:jc w:val="left"/>
        <w:rPr>
          <w:rFonts w:ascii="宋体" w:hAnsi="宋体" w:cs="仿宋"/>
        </w:rPr>
      </w:pPr>
      <w:r>
        <w:rPr>
          <w:rFonts w:ascii="宋体" w:hAnsi="宋体" w:cs="仿宋" w:hint="eastAsia"/>
        </w:rPr>
        <w:t>注：不满意选择比是指对某方面不满意的回复人数占全部回复人数的比例。</w:t>
      </w:r>
    </w:p>
    <w:p w:rsidR="00394D80" w:rsidRDefault="00394D80" w:rsidP="001C6CE7">
      <w:pPr>
        <w:spacing w:beforeLines="20" w:afterLines="20" w:line="360" w:lineRule="auto"/>
        <w:jc w:val="center"/>
        <w:rPr>
          <w:rFonts w:ascii="宋体" w:hAnsi="宋体"/>
        </w:rPr>
      </w:pPr>
    </w:p>
    <w:p w:rsidR="00394D80" w:rsidRDefault="00394D80" w:rsidP="001C6CE7">
      <w:pPr>
        <w:spacing w:beforeLines="20" w:afterLines="20" w:line="360" w:lineRule="auto"/>
        <w:jc w:val="center"/>
        <w:rPr>
          <w:rFonts w:ascii="宋体" w:hAnsi="宋体"/>
        </w:rPr>
      </w:pPr>
    </w:p>
    <w:p w:rsidR="00394D80" w:rsidRDefault="00394D80" w:rsidP="001C6CE7">
      <w:pPr>
        <w:spacing w:beforeLines="20" w:afterLines="20" w:line="360" w:lineRule="auto"/>
        <w:jc w:val="center"/>
      </w:pPr>
      <w:r>
        <w:rPr>
          <w:rFonts w:ascii="宋体" w:hAnsi="宋体" w:hint="eastAsia"/>
        </w:rPr>
        <w:t xml:space="preserve">图5 </w:t>
      </w:r>
      <w:r>
        <w:rPr>
          <w:rFonts w:ascii="宋体" w:hAnsi="宋体" w:cs="仿宋" w:hint="eastAsia"/>
          <w:sz w:val="22"/>
          <w:szCs w:val="22"/>
        </w:rPr>
        <w:t>2020年第三季度</w:t>
      </w:r>
      <w:r>
        <w:rPr>
          <w:rFonts w:ascii="宋体" w:hAnsi="宋体" w:hint="eastAsia"/>
        </w:rPr>
        <w:t>市民就医不满意原因反馈总体情况</w:t>
      </w:r>
    </w:p>
    <w:p w:rsidR="00394D80" w:rsidRDefault="00394D80" w:rsidP="001C6CE7">
      <w:pPr>
        <w:spacing w:beforeLines="20" w:afterLines="20" w:line="360" w:lineRule="auto"/>
        <w:jc w:val="left"/>
        <w:rPr>
          <w:rFonts w:ascii="宋体" w:hAnsi="宋体" w:cs="仿宋"/>
          <w:sz w:val="28"/>
          <w:szCs w:val="28"/>
        </w:rPr>
      </w:pPr>
      <w:r>
        <w:rPr>
          <w:noProof/>
        </w:rPr>
        <w:drawing>
          <wp:inline distT="0" distB="0" distL="0" distR="0">
            <wp:extent cx="5153025" cy="3076575"/>
            <wp:effectExtent l="0" t="0" r="0" b="0"/>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94D80" w:rsidRDefault="00394D80" w:rsidP="00394D80">
      <w:pPr>
        <w:pStyle w:val="ac"/>
        <w:jc w:val="center"/>
        <w:rPr>
          <w:rFonts w:ascii="宋体" w:eastAsia="宋体" w:hAnsi="宋体"/>
          <w:sz w:val="21"/>
        </w:rPr>
      </w:pPr>
      <w:r>
        <w:rPr>
          <w:noProof/>
        </w:rPr>
        <w:lastRenderedPageBreak/>
        <w:drawing>
          <wp:inline distT="0" distB="0" distL="0" distR="0">
            <wp:extent cx="5334000" cy="3076575"/>
            <wp:effectExtent l="0" t="0" r="0" b="0"/>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4D80" w:rsidRDefault="00394D80" w:rsidP="00394D80">
      <w:pPr>
        <w:pStyle w:val="ac"/>
        <w:jc w:val="center"/>
        <w:rPr>
          <w:rFonts w:ascii="宋体" w:eastAsia="宋体" w:hAnsi="宋体"/>
          <w:sz w:val="21"/>
        </w:rPr>
      </w:pPr>
    </w:p>
    <w:p w:rsidR="00394D80" w:rsidRDefault="00394D80" w:rsidP="00394D80">
      <w:pPr>
        <w:ind w:firstLineChars="200" w:firstLine="420"/>
        <w:jc w:val="center"/>
        <w:rPr>
          <w:rFonts w:eastAsia="仿宋"/>
        </w:rPr>
      </w:pPr>
      <w:r>
        <w:rPr>
          <w:rFonts w:ascii="宋体" w:hAnsi="宋体" w:hint="eastAsia"/>
        </w:rPr>
        <w:t xml:space="preserve">图6 </w:t>
      </w:r>
      <w:r>
        <w:rPr>
          <w:rFonts w:ascii="宋体" w:hAnsi="宋体" w:cs="仿宋" w:hint="eastAsia"/>
          <w:sz w:val="22"/>
          <w:szCs w:val="22"/>
        </w:rPr>
        <w:t>2020年第三季度</w:t>
      </w:r>
      <w:r>
        <w:rPr>
          <w:rFonts w:ascii="宋体" w:hAnsi="宋体" w:hint="eastAsia"/>
        </w:rPr>
        <w:t>市民在公立医院和非公立医院就医不满意原因反馈情况</w:t>
      </w:r>
    </w:p>
    <w:p w:rsidR="00394D80" w:rsidRDefault="00394D80" w:rsidP="00394D80">
      <w:pPr>
        <w:pStyle w:val="ac"/>
        <w:jc w:val="center"/>
        <w:rPr>
          <w:rFonts w:ascii="宋体" w:eastAsia="宋体" w:hAnsi="宋体"/>
          <w:sz w:val="21"/>
        </w:rPr>
      </w:pPr>
    </w:p>
    <w:p w:rsidR="00394D80" w:rsidRDefault="00394D80" w:rsidP="00394D80">
      <w:pPr>
        <w:pStyle w:val="ac"/>
        <w:jc w:val="center"/>
        <w:rPr>
          <w:rFonts w:ascii="宋体" w:eastAsia="宋体" w:hAnsi="宋体"/>
          <w:sz w:val="21"/>
          <w:szCs w:val="21"/>
        </w:rPr>
      </w:pPr>
    </w:p>
    <w:p w:rsidR="00394D80" w:rsidRDefault="00394D80" w:rsidP="00394D80"/>
    <w:p w:rsidR="00394D80" w:rsidRDefault="00394D80" w:rsidP="00394D80">
      <w:pPr>
        <w:pStyle w:val="ac"/>
        <w:jc w:val="center"/>
        <w:rPr>
          <w:rFonts w:ascii="宋体" w:eastAsia="宋体" w:hAnsi="宋体"/>
          <w:sz w:val="21"/>
        </w:rPr>
      </w:pPr>
      <w:r>
        <w:rPr>
          <w:noProof/>
        </w:rPr>
        <w:drawing>
          <wp:inline distT="0" distB="0" distL="0" distR="0">
            <wp:extent cx="5276850" cy="3419475"/>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4D80" w:rsidRDefault="00394D80" w:rsidP="00394D80">
      <w:pPr>
        <w:pStyle w:val="ac"/>
        <w:jc w:val="center"/>
        <w:rPr>
          <w:rFonts w:ascii="宋体" w:eastAsia="宋体" w:hAnsi="宋体"/>
          <w:sz w:val="21"/>
        </w:rPr>
      </w:pPr>
    </w:p>
    <w:p w:rsidR="00394D80" w:rsidRDefault="00394D80" w:rsidP="00EC347B">
      <w:pPr>
        <w:autoSpaceDN w:val="0"/>
        <w:spacing w:line="570" w:lineRule="exact"/>
        <w:jc w:val="center"/>
        <w:rPr>
          <w:rFonts w:ascii="仿宋_GB2312" w:eastAsia="仿宋_GB2312"/>
          <w:spacing w:val="-3"/>
          <w:sz w:val="28"/>
          <w:szCs w:val="28"/>
        </w:rPr>
      </w:pPr>
      <w:r>
        <w:rPr>
          <w:rFonts w:ascii="宋体" w:hAnsi="宋体" w:cs="仿宋" w:hint="eastAsia"/>
          <w:sz w:val="22"/>
          <w:szCs w:val="22"/>
        </w:rPr>
        <w:t>图7近四个季度</w:t>
      </w:r>
      <w:r>
        <w:rPr>
          <w:rFonts w:ascii="宋体" w:hAnsi="宋体" w:cs="仿宋"/>
          <w:sz w:val="22"/>
          <w:szCs w:val="22"/>
        </w:rPr>
        <w:t>全市医院不满意的原因</w:t>
      </w:r>
      <w:r>
        <w:rPr>
          <w:rFonts w:ascii="宋体" w:hAnsi="宋体" w:cs="仿宋" w:hint="eastAsia"/>
          <w:sz w:val="22"/>
          <w:szCs w:val="22"/>
        </w:rPr>
        <w:t>变化情况</w:t>
      </w:r>
      <w:r>
        <w:rPr>
          <w:rFonts w:ascii="宋体" w:hAnsi="宋体" w:cs="仿宋"/>
          <w:sz w:val="22"/>
          <w:szCs w:val="22"/>
        </w:rPr>
        <w:t>（%）</w:t>
      </w:r>
    </w:p>
    <w:p w:rsidR="00390627" w:rsidRPr="00394D80" w:rsidRDefault="00390627"/>
    <w:sectPr w:rsidR="00390627" w:rsidRPr="00394D80" w:rsidSect="00495CF1">
      <w:footerReference w:type="default" r:id="rId9"/>
      <w:pgSz w:w="11906" w:h="16838"/>
      <w:pgMar w:top="1814" w:right="1474" w:bottom="1474" w:left="1531" w:header="851" w:footer="1304"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4A" w:rsidRDefault="004C1B4A">
      <w:r>
        <w:separator/>
      </w:r>
    </w:p>
  </w:endnote>
  <w:endnote w:type="continuationSeparator" w:id="1">
    <w:p w:rsidR="004C1B4A" w:rsidRDefault="004C1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56" w:rsidRDefault="00394D80">
    <w:pPr>
      <w:pStyle w:val="a5"/>
      <w:framePr w:w="1259" w:wrap="around" w:vAnchor="text" w:hAnchor="margin" w:xAlign="outside" w:y="2"/>
      <w:ind w:rightChars="78" w:right="164" w:firstLineChars="64" w:firstLine="179"/>
      <w:rPr>
        <w:rStyle w:val="a4"/>
        <w:rFonts w:ascii="宋体" w:hAnsi="宋体"/>
        <w:sz w:val="28"/>
        <w:szCs w:val="28"/>
      </w:rPr>
    </w:pPr>
    <w:r>
      <w:rPr>
        <w:rStyle w:val="a4"/>
        <w:rFonts w:ascii="宋体" w:hAnsi="宋体" w:hint="eastAsia"/>
        <w:sz w:val="28"/>
        <w:szCs w:val="28"/>
      </w:rPr>
      <w:t>－</w:t>
    </w:r>
    <w:r w:rsidR="00495CF1">
      <w:rPr>
        <w:rFonts w:ascii="宋体" w:hAnsi="宋体"/>
        <w:sz w:val="28"/>
        <w:szCs w:val="28"/>
      </w:rPr>
      <w:fldChar w:fldCharType="begin"/>
    </w:r>
    <w:r>
      <w:rPr>
        <w:rStyle w:val="a4"/>
        <w:rFonts w:ascii="宋体" w:hAnsi="宋体"/>
        <w:sz w:val="28"/>
        <w:szCs w:val="28"/>
      </w:rPr>
      <w:instrText xml:space="preserve">PAGE  </w:instrText>
    </w:r>
    <w:r w:rsidR="00495CF1">
      <w:rPr>
        <w:rFonts w:ascii="宋体" w:hAnsi="宋体"/>
        <w:sz w:val="28"/>
        <w:szCs w:val="28"/>
      </w:rPr>
      <w:fldChar w:fldCharType="separate"/>
    </w:r>
    <w:r w:rsidR="0069735E">
      <w:rPr>
        <w:rStyle w:val="a4"/>
        <w:rFonts w:ascii="宋体" w:hAnsi="宋体"/>
        <w:noProof/>
        <w:sz w:val="28"/>
        <w:szCs w:val="28"/>
      </w:rPr>
      <w:t>3</w:t>
    </w:r>
    <w:r w:rsidR="00495CF1">
      <w:rPr>
        <w:rFonts w:ascii="宋体" w:hAnsi="宋体"/>
        <w:sz w:val="28"/>
        <w:szCs w:val="28"/>
      </w:rPr>
      <w:fldChar w:fldCharType="end"/>
    </w:r>
    <w:r>
      <w:rPr>
        <w:rStyle w:val="a4"/>
        <w:rFonts w:ascii="宋体" w:hAnsi="宋体" w:hint="eastAsia"/>
        <w:sz w:val="28"/>
        <w:szCs w:val="28"/>
      </w:rPr>
      <w:t>－</w:t>
    </w:r>
  </w:p>
  <w:p w:rsidR="00784156" w:rsidRDefault="00784156">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4A" w:rsidRDefault="004C1B4A">
      <w:r>
        <w:separator/>
      </w:r>
    </w:p>
  </w:footnote>
  <w:footnote w:type="continuationSeparator" w:id="1">
    <w:p w:rsidR="004C1B4A" w:rsidRDefault="004C1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D80"/>
    <w:rsid w:val="001B1F45"/>
    <w:rsid w:val="001C6CE7"/>
    <w:rsid w:val="002D2F31"/>
    <w:rsid w:val="00390627"/>
    <w:rsid w:val="00394D80"/>
    <w:rsid w:val="00495CF1"/>
    <w:rsid w:val="004C1B4A"/>
    <w:rsid w:val="005464FC"/>
    <w:rsid w:val="005C42A2"/>
    <w:rsid w:val="0069735E"/>
    <w:rsid w:val="00784156"/>
    <w:rsid w:val="00841A2D"/>
    <w:rsid w:val="00A75202"/>
    <w:rsid w:val="00EC347B"/>
    <w:rsid w:val="00F57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80"/>
    <w:pPr>
      <w:widowControl w:val="0"/>
      <w:jc w:val="both"/>
    </w:pPr>
    <w:rPr>
      <w:rFonts w:ascii="Times New Roman" w:eastAsia="宋体" w:hAnsi="Times New Roman" w:cs="Times New Roman"/>
      <w:szCs w:val="24"/>
    </w:rPr>
  </w:style>
  <w:style w:type="paragraph" w:styleId="2">
    <w:name w:val="heading 2"/>
    <w:basedOn w:val="a"/>
    <w:next w:val="a"/>
    <w:link w:val="2Char"/>
    <w:qFormat/>
    <w:rsid w:val="00394D8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94D80"/>
    <w:rPr>
      <w:rFonts w:ascii="Cambria" w:eastAsia="宋体" w:hAnsi="Cambria" w:cs="Times New Roman"/>
      <w:b/>
      <w:bCs/>
      <w:sz w:val="32"/>
      <w:szCs w:val="32"/>
    </w:rPr>
  </w:style>
  <w:style w:type="character" w:styleId="a3">
    <w:name w:val="Hyperlink"/>
    <w:rsid w:val="00394D80"/>
    <w:rPr>
      <w:rFonts w:cs="Times New Roman"/>
      <w:color w:val="0000FF"/>
      <w:u w:val="single"/>
    </w:rPr>
  </w:style>
  <w:style w:type="character" w:styleId="a4">
    <w:name w:val="page number"/>
    <w:basedOn w:val="a0"/>
    <w:rsid w:val="00394D80"/>
  </w:style>
  <w:style w:type="character" w:customStyle="1" w:styleId="Char1">
    <w:name w:val="日期 Char1"/>
    <w:rsid w:val="00394D80"/>
    <w:rPr>
      <w:kern w:val="2"/>
      <w:sz w:val="21"/>
      <w:szCs w:val="24"/>
    </w:rPr>
  </w:style>
  <w:style w:type="character" w:customStyle="1" w:styleId="Char">
    <w:name w:val="页脚 Char"/>
    <w:link w:val="a5"/>
    <w:rsid w:val="00394D80"/>
    <w:rPr>
      <w:sz w:val="18"/>
      <w:szCs w:val="18"/>
    </w:rPr>
  </w:style>
  <w:style w:type="character" w:customStyle="1" w:styleId="Char0">
    <w:name w:val="批注框文本 Char"/>
    <w:link w:val="a6"/>
    <w:rsid w:val="00394D80"/>
    <w:rPr>
      <w:sz w:val="18"/>
      <w:szCs w:val="18"/>
    </w:rPr>
  </w:style>
  <w:style w:type="character" w:customStyle="1" w:styleId="Char2">
    <w:name w:val="文档结构图 Char"/>
    <w:link w:val="a7"/>
    <w:rsid w:val="00394D80"/>
    <w:rPr>
      <w:rFonts w:ascii="宋体"/>
      <w:sz w:val="18"/>
      <w:szCs w:val="18"/>
    </w:rPr>
  </w:style>
  <w:style w:type="character" w:styleId="a8">
    <w:name w:val="FollowedHyperlink"/>
    <w:rsid w:val="00394D80"/>
    <w:rPr>
      <w:rFonts w:cs="Times New Roman"/>
      <w:color w:val="800080"/>
      <w:u w:val="single"/>
    </w:rPr>
  </w:style>
  <w:style w:type="character" w:customStyle="1" w:styleId="Char3">
    <w:name w:val="日期 Char"/>
    <w:link w:val="a9"/>
    <w:rsid w:val="00394D80"/>
  </w:style>
  <w:style w:type="character" w:customStyle="1" w:styleId="Char4">
    <w:name w:val="页眉 Char"/>
    <w:link w:val="aa"/>
    <w:rsid w:val="00394D80"/>
    <w:rPr>
      <w:sz w:val="18"/>
      <w:szCs w:val="18"/>
    </w:rPr>
  </w:style>
  <w:style w:type="paragraph" w:customStyle="1" w:styleId="xl72">
    <w:name w:val="xl72"/>
    <w:basedOn w:val="a"/>
    <w:rsid w:val="00394D80"/>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
    <w:rsid w:val="00394D80"/>
    <w:pPr>
      <w:widowControl/>
    </w:pPr>
    <w:rPr>
      <w:rFonts w:ascii="Calibri" w:hAnsi="Calibri" w:cs="宋体"/>
      <w:kern w:val="0"/>
      <w:szCs w:val="21"/>
    </w:rPr>
  </w:style>
  <w:style w:type="paragraph" w:styleId="ab">
    <w:name w:val="Normal (Web)"/>
    <w:basedOn w:val="a"/>
    <w:uiPriority w:val="99"/>
    <w:unhideWhenUsed/>
    <w:rsid w:val="00394D80"/>
    <w:pPr>
      <w:widowControl/>
      <w:spacing w:before="100" w:beforeAutospacing="1" w:after="100" w:afterAutospacing="1"/>
      <w:jc w:val="left"/>
    </w:pPr>
    <w:rPr>
      <w:rFonts w:ascii="宋体" w:hAnsi="宋体" w:cs="宋体"/>
      <w:kern w:val="0"/>
      <w:sz w:val="24"/>
    </w:rPr>
  </w:style>
  <w:style w:type="paragraph" w:customStyle="1" w:styleId="xl70">
    <w:name w:val="xl70"/>
    <w:basedOn w:val="a"/>
    <w:rsid w:val="00394D80"/>
    <w:pPr>
      <w:widowControl/>
      <w:pBdr>
        <w:top w:val="single" w:sz="4" w:space="0" w:color="auto"/>
        <w:bottom w:val="single" w:sz="8" w:space="0" w:color="auto"/>
      </w:pBdr>
      <w:spacing w:before="100" w:beforeAutospacing="1" w:after="100" w:afterAutospacing="1"/>
      <w:jc w:val="right"/>
    </w:pPr>
    <w:rPr>
      <w:rFonts w:ascii="宋体" w:hAnsi="宋体" w:cs="宋体"/>
      <w:b/>
      <w:bCs/>
      <w:kern w:val="0"/>
      <w:sz w:val="20"/>
      <w:szCs w:val="20"/>
    </w:rPr>
  </w:style>
  <w:style w:type="paragraph" w:customStyle="1" w:styleId="1">
    <w:name w:val="列出段落1"/>
    <w:basedOn w:val="a"/>
    <w:rsid w:val="00394D80"/>
    <w:pPr>
      <w:ind w:firstLineChars="200" w:firstLine="420"/>
    </w:pPr>
    <w:rPr>
      <w:szCs w:val="21"/>
    </w:rPr>
  </w:style>
  <w:style w:type="paragraph" w:styleId="aa">
    <w:name w:val="header"/>
    <w:basedOn w:val="a"/>
    <w:link w:val="Char4"/>
    <w:rsid w:val="00394D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394D80"/>
    <w:rPr>
      <w:rFonts w:ascii="Times New Roman" w:eastAsia="宋体" w:hAnsi="Times New Roman" w:cs="Times New Roman"/>
      <w:sz w:val="18"/>
      <w:szCs w:val="18"/>
    </w:rPr>
  </w:style>
  <w:style w:type="paragraph" w:customStyle="1" w:styleId="xl65">
    <w:name w:val="xl65"/>
    <w:basedOn w:val="a"/>
    <w:rsid w:val="00394D80"/>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394D80"/>
    <w:pPr>
      <w:widowControl/>
      <w:spacing w:before="100" w:beforeAutospacing="1" w:after="100" w:afterAutospacing="1"/>
      <w:jc w:val="left"/>
    </w:pPr>
    <w:rPr>
      <w:rFonts w:ascii="宋体" w:hAnsi="宋体" w:cs="宋体"/>
      <w:kern w:val="0"/>
      <w:sz w:val="20"/>
      <w:szCs w:val="20"/>
    </w:rPr>
  </w:style>
  <w:style w:type="paragraph" w:styleId="a5">
    <w:name w:val="footer"/>
    <w:basedOn w:val="a"/>
    <w:link w:val="Char"/>
    <w:rsid w:val="00394D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394D80"/>
    <w:rPr>
      <w:rFonts w:ascii="Times New Roman" w:eastAsia="宋体" w:hAnsi="Times New Roman" w:cs="Times New Roman"/>
      <w:sz w:val="18"/>
      <w:szCs w:val="18"/>
    </w:rPr>
  </w:style>
  <w:style w:type="paragraph" w:customStyle="1" w:styleId="Style3">
    <w:name w:val="_Style 3"/>
    <w:basedOn w:val="a"/>
    <w:rsid w:val="00394D80"/>
    <w:pPr>
      <w:widowControl/>
      <w:spacing w:after="160" w:line="240" w:lineRule="exact"/>
      <w:jc w:val="left"/>
    </w:pPr>
  </w:style>
  <w:style w:type="paragraph" w:customStyle="1" w:styleId="xl68">
    <w:name w:val="xl68"/>
    <w:basedOn w:val="a"/>
    <w:rsid w:val="00394D80"/>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394D80"/>
    <w:pPr>
      <w:widowControl/>
      <w:spacing w:before="100" w:beforeAutospacing="1" w:after="100" w:afterAutospacing="1"/>
      <w:jc w:val="left"/>
    </w:pPr>
    <w:rPr>
      <w:rFonts w:ascii="宋体" w:hAnsi="宋体" w:cs="宋体"/>
      <w:kern w:val="0"/>
      <w:sz w:val="20"/>
      <w:szCs w:val="20"/>
    </w:rPr>
  </w:style>
  <w:style w:type="paragraph" w:styleId="a6">
    <w:name w:val="Balloon Text"/>
    <w:basedOn w:val="a"/>
    <w:link w:val="Char0"/>
    <w:rsid w:val="00394D80"/>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394D80"/>
    <w:rPr>
      <w:rFonts w:ascii="Times New Roman" w:eastAsia="宋体" w:hAnsi="Times New Roman" w:cs="Times New Roman"/>
      <w:sz w:val="18"/>
      <w:szCs w:val="18"/>
    </w:rPr>
  </w:style>
  <w:style w:type="paragraph" w:styleId="ac">
    <w:name w:val="caption"/>
    <w:basedOn w:val="a"/>
    <w:next w:val="a"/>
    <w:qFormat/>
    <w:rsid w:val="00394D80"/>
    <w:rPr>
      <w:rFonts w:ascii="Cambria" w:eastAsia="黑体" w:hAnsi="Cambria"/>
      <w:sz w:val="20"/>
      <w:szCs w:val="20"/>
    </w:rPr>
  </w:style>
  <w:style w:type="paragraph" w:styleId="a9">
    <w:name w:val="Date"/>
    <w:basedOn w:val="a"/>
    <w:next w:val="a"/>
    <w:link w:val="Char3"/>
    <w:rsid w:val="00394D80"/>
    <w:pPr>
      <w:ind w:leftChars="2500" w:left="100"/>
    </w:pPr>
    <w:rPr>
      <w:rFonts w:asciiTheme="minorHAnsi" w:eastAsiaTheme="minorEastAsia" w:hAnsiTheme="minorHAnsi" w:cstheme="minorBidi"/>
      <w:szCs w:val="22"/>
    </w:rPr>
  </w:style>
  <w:style w:type="character" w:customStyle="1" w:styleId="Char20">
    <w:name w:val="日期 Char2"/>
    <w:basedOn w:val="a0"/>
    <w:uiPriority w:val="99"/>
    <w:semiHidden/>
    <w:rsid w:val="00394D80"/>
    <w:rPr>
      <w:rFonts w:ascii="Times New Roman" w:eastAsia="宋体" w:hAnsi="Times New Roman" w:cs="Times New Roman"/>
      <w:szCs w:val="24"/>
    </w:rPr>
  </w:style>
  <w:style w:type="paragraph" w:customStyle="1" w:styleId="Char5">
    <w:name w:val="Char"/>
    <w:basedOn w:val="a"/>
    <w:rsid w:val="00394D80"/>
  </w:style>
  <w:style w:type="paragraph" w:customStyle="1" w:styleId="xl69">
    <w:name w:val="xl69"/>
    <w:basedOn w:val="a"/>
    <w:rsid w:val="00394D80"/>
    <w:pPr>
      <w:widowControl/>
      <w:spacing w:before="100" w:beforeAutospacing="1" w:after="100" w:afterAutospacing="1"/>
      <w:jc w:val="right"/>
    </w:pPr>
    <w:rPr>
      <w:rFonts w:ascii="宋体" w:hAnsi="宋体" w:cs="宋体"/>
      <w:kern w:val="0"/>
      <w:sz w:val="20"/>
      <w:szCs w:val="20"/>
    </w:rPr>
  </w:style>
  <w:style w:type="paragraph" w:styleId="a7">
    <w:name w:val="Document Map"/>
    <w:basedOn w:val="a"/>
    <w:link w:val="Char2"/>
    <w:rsid w:val="00394D80"/>
    <w:rPr>
      <w:rFonts w:ascii="宋体" w:eastAsiaTheme="minorEastAsia" w:hAnsiTheme="minorHAnsi" w:cstheme="minorBidi"/>
      <w:sz w:val="18"/>
      <w:szCs w:val="18"/>
    </w:rPr>
  </w:style>
  <w:style w:type="character" w:customStyle="1" w:styleId="Char13">
    <w:name w:val="文档结构图 Char1"/>
    <w:basedOn w:val="a0"/>
    <w:uiPriority w:val="99"/>
    <w:semiHidden/>
    <w:rsid w:val="00394D80"/>
    <w:rPr>
      <w:rFonts w:ascii="Microsoft YaHei UI" w:eastAsia="Microsoft YaHei UI" w:hAnsi="Times New Roman" w:cs="Times New Roman"/>
      <w:sz w:val="18"/>
      <w:szCs w:val="18"/>
    </w:rPr>
  </w:style>
  <w:style w:type="paragraph" w:customStyle="1" w:styleId="xl71">
    <w:name w:val="xl71"/>
    <w:basedOn w:val="a"/>
    <w:rsid w:val="00394D80"/>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ParaChar">
    <w:name w:val="默认段落字体 Para Char"/>
    <w:basedOn w:val="a"/>
    <w:rsid w:val="00394D80"/>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46932\Desktop\&#19977;&#35282;&#22320;\&#22270;&#24418;&#25968;&#25454;%20-%20&#21103;&#2641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46932\Desktop\&#19977;&#35282;&#22320;\&#22270;&#24418;&#25968;&#25454;%20-%20&#21103;&#264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46932\Desktop\&#19977;&#35282;&#22320;\&#22270;&#24418;&#25968;&#25454;%20-%20&#21103;&#2641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Sheet3!$A$7</c:f>
              <c:strCache>
                <c:ptCount val="1"/>
                <c:pt idx="0">
                  <c:v>2020年第三季度</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Sheet3!$B$7:$I$7</c:f>
              <c:numCache>
                <c:formatCode>0.0</c:formatCode>
                <c:ptCount val="8"/>
                <c:pt idx="0">
                  <c:v>12.626434822138879</c:v>
                </c:pt>
                <c:pt idx="1">
                  <c:v>8.154335719968179</c:v>
                </c:pt>
                <c:pt idx="2">
                  <c:v>7.9384020911467221</c:v>
                </c:pt>
                <c:pt idx="3">
                  <c:v>6.8587339470394344</c:v>
                </c:pt>
                <c:pt idx="4">
                  <c:v>4.0288669166950779</c:v>
                </c:pt>
                <c:pt idx="5">
                  <c:v>1.1876349585180135</c:v>
                </c:pt>
                <c:pt idx="6">
                  <c:v>1.3581088760086377</c:v>
                </c:pt>
                <c:pt idx="7">
                  <c:v>0.63643595863166269</c:v>
                </c:pt>
              </c:numCache>
            </c:numRef>
          </c:val>
          <c:extLst xmlns:c16r2="http://schemas.microsoft.com/office/drawing/2015/06/chart">
            <c:ext xmlns:c16="http://schemas.microsoft.com/office/drawing/2014/chart" uri="{C3380CC4-5D6E-409C-BE32-E72D297353CC}">
              <c16:uniqueId val="{00000000-3826-41F2-884A-EFCFB44EFEA9}"/>
            </c:ext>
          </c:extLst>
        </c:ser>
        <c:dLbls>
          <c:showVal val="1"/>
        </c:dLbls>
        <c:shape val="box"/>
        <c:axId val="284500352"/>
        <c:axId val="284501888"/>
        <c:axId val="0"/>
      </c:bar3DChart>
      <c:catAx>
        <c:axId val="284500352"/>
        <c:scaling>
          <c:orientation val="minMax"/>
        </c:scaling>
        <c:axPos val="b"/>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crossAx val="284501888"/>
        <c:crosses val="autoZero"/>
        <c:auto val="1"/>
        <c:lblAlgn val="ctr"/>
        <c:lblOffset val="100"/>
      </c:catAx>
      <c:valAx>
        <c:axId val="284501888"/>
        <c:scaling>
          <c:orientation val="minMax"/>
          <c:max val="12"/>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crossAx val="284500352"/>
        <c:crosses val="autoZero"/>
        <c:crossBetween val="between"/>
        <c:majorUnit val="2"/>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Sheet3!$A$9</c:f>
              <c:strCache>
                <c:ptCount val="1"/>
                <c:pt idx="0">
                  <c:v>公立</c:v>
                </c:pt>
              </c:strCache>
            </c:strRef>
          </c:tx>
          <c:spPr>
            <a:pattFill prst="wdDnDiag">
              <a:fgClr>
                <a:srgbClr val="92D05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Sheet3!$B$8:$I$8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Sheet3!$B$9:$I$9</c:f>
              <c:numCache>
                <c:formatCode>0.0</c:formatCode>
                <c:ptCount val="8"/>
                <c:pt idx="0">
                  <c:v>13.86501338593772</c:v>
                </c:pt>
                <c:pt idx="1">
                  <c:v>8.0245174017190326</c:v>
                </c:pt>
                <c:pt idx="2">
                  <c:v>8.1583767789206707</c:v>
                </c:pt>
                <c:pt idx="3">
                  <c:v>6.6718331689446275</c:v>
                </c:pt>
                <c:pt idx="4">
                  <c:v>2.8744539946456231</c:v>
                </c:pt>
                <c:pt idx="5">
                  <c:v>1.0145131745808091</c:v>
                </c:pt>
                <c:pt idx="6">
                  <c:v>1.2117796251937438</c:v>
                </c:pt>
                <c:pt idx="7">
                  <c:v>0.52134704804847132</c:v>
                </c:pt>
              </c:numCache>
            </c:numRef>
          </c:val>
          <c:extLst xmlns:c16r2="http://schemas.microsoft.com/office/drawing/2015/06/chart">
            <c:ext xmlns:c16="http://schemas.microsoft.com/office/drawing/2014/chart" uri="{C3380CC4-5D6E-409C-BE32-E72D297353CC}">
              <c16:uniqueId val="{00000000-B91E-4199-96E7-D257E19DF117}"/>
            </c:ext>
          </c:extLst>
        </c:ser>
        <c:ser>
          <c:idx val="1"/>
          <c:order val="1"/>
          <c:tx>
            <c:strRef>
              <c:f>Sheet3!$A$10</c:f>
              <c:strCache>
                <c:ptCount val="1"/>
                <c:pt idx="0">
                  <c:v>非公立</c:v>
                </c:pt>
              </c:strCache>
            </c:strRef>
          </c:tx>
          <c:spPr>
            <a:pattFill prst="wdUpDiag">
              <a:fgClr>
                <a:srgbClr val="FF000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Sheet3!$B$8:$I$8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Sheet3!$B$10:$I$10</c:f>
              <c:numCache>
                <c:formatCode>0.0</c:formatCode>
                <c:ptCount val="8"/>
                <c:pt idx="0">
                  <c:v>7.4618096357226822</c:v>
                </c:pt>
                <c:pt idx="1">
                  <c:v>8.6956521739130448</c:v>
                </c:pt>
                <c:pt idx="2">
                  <c:v>7.0211515863689753</c:v>
                </c:pt>
                <c:pt idx="3">
                  <c:v>7.6380728554641593</c:v>
                </c:pt>
                <c:pt idx="4">
                  <c:v>8.8425381903642766</c:v>
                </c:pt>
                <c:pt idx="5">
                  <c:v>1.90951821386604</c:v>
                </c:pt>
                <c:pt idx="6">
                  <c:v>1.9682726204465344</c:v>
                </c:pt>
                <c:pt idx="7">
                  <c:v>1.1163337250293772</c:v>
                </c:pt>
              </c:numCache>
            </c:numRef>
          </c:val>
          <c:extLst xmlns:c16r2="http://schemas.microsoft.com/office/drawing/2015/06/chart">
            <c:ext xmlns:c16="http://schemas.microsoft.com/office/drawing/2014/chart" uri="{C3380CC4-5D6E-409C-BE32-E72D297353CC}">
              <c16:uniqueId val="{00000001-B91E-4199-96E7-D257E19DF117}"/>
            </c:ext>
          </c:extLst>
        </c:ser>
        <c:dLbls>
          <c:showVal val="1"/>
        </c:dLbls>
        <c:gapWidth val="219"/>
        <c:overlap val="-27"/>
        <c:axId val="284515328"/>
        <c:axId val="284893952"/>
      </c:barChart>
      <c:catAx>
        <c:axId val="284515328"/>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4893952"/>
        <c:crosses val="autoZero"/>
        <c:auto val="1"/>
        <c:lblAlgn val="ctr"/>
        <c:lblOffset val="100"/>
      </c:catAx>
      <c:valAx>
        <c:axId val="284893952"/>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451532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Sheet3!$A$4</c:f>
              <c:strCache>
                <c:ptCount val="1"/>
                <c:pt idx="0">
                  <c:v>2019年第四季度</c:v>
                </c:pt>
              </c:strCache>
            </c:strRef>
          </c:tx>
          <c:spPr>
            <a:pattFill prst="wdUpDiag">
              <a:fgClr>
                <a:srgbClr val="92D050"/>
              </a:fgClr>
              <a:bgClr>
                <a:schemeClr val="bg1"/>
              </a:bgClr>
            </a:patt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Sheet3!$B$4:$I$4</c:f>
              <c:numCache>
                <c:formatCode>0.0</c:formatCode>
                <c:ptCount val="8"/>
                <c:pt idx="0">
                  <c:v>7.1899999999999995</c:v>
                </c:pt>
                <c:pt idx="1">
                  <c:v>13.61</c:v>
                </c:pt>
                <c:pt idx="2">
                  <c:v>7.14</c:v>
                </c:pt>
                <c:pt idx="3">
                  <c:v>6.72</c:v>
                </c:pt>
                <c:pt idx="4">
                  <c:v>7.6</c:v>
                </c:pt>
                <c:pt idx="5">
                  <c:v>1.6800000000000004</c:v>
                </c:pt>
                <c:pt idx="6">
                  <c:v>1.2</c:v>
                </c:pt>
                <c:pt idx="7">
                  <c:v>1.07</c:v>
                </c:pt>
              </c:numCache>
            </c:numRef>
          </c:val>
          <c:extLst xmlns:c16r2="http://schemas.microsoft.com/office/drawing/2015/06/chart">
            <c:ext xmlns:c16="http://schemas.microsoft.com/office/drawing/2014/chart" uri="{C3380CC4-5D6E-409C-BE32-E72D297353CC}">
              <c16:uniqueId val="{00000000-EDC0-4FAD-B5FF-0D65B050C986}"/>
            </c:ext>
          </c:extLst>
        </c:ser>
        <c:ser>
          <c:idx val="1"/>
          <c:order val="1"/>
          <c:tx>
            <c:strRef>
              <c:f>Sheet3!$A$5</c:f>
              <c:strCache>
                <c:ptCount val="1"/>
                <c:pt idx="0">
                  <c:v>2020年第一季度</c:v>
                </c:pt>
              </c:strCache>
            </c:strRef>
          </c:tx>
          <c:spPr>
            <a:pattFill prst="dkVert">
              <a:fgClr>
                <a:srgbClr val="FF0000"/>
              </a:fgClr>
              <a:bgClr>
                <a:schemeClr val="bg1"/>
              </a:bgClr>
            </a:patt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Sheet3!$B$5:$I$5</c:f>
              <c:numCache>
                <c:formatCode>0.0</c:formatCode>
                <c:ptCount val="8"/>
                <c:pt idx="0">
                  <c:v>21.610000000000007</c:v>
                </c:pt>
                <c:pt idx="1">
                  <c:v>15.950000000000003</c:v>
                </c:pt>
                <c:pt idx="2">
                  <c:v>6.1099999999999985</c:v>
                </c:pt>
                <c:pt idx="3">
                  <c:v>5.41</c:v>
                </c:pt>
                <c:pt idx="4">
                  <c:v>5.6599999999999984</c:v>
                </c:pt>
                <c:pt idx="5">
                  <c:v>0.9</c:v>
                </c:pt>
                <c:pt idx="6">
                  <c:v>0.67000000000000026</c:v>
                </c:pt>
                <c:pt idx="7">
                  <c:v>0.66000000000000025</c:v>
                </c:pt>
              </c:numCache>
            </c:numRef>
          </c:val>
          <c:extLst xmlns:c16r2="http://schemas.microsoft.com/office/drawing/2015/06/chart">
            <c:ext xmlns:c16="http://schemas.microsoft.com/office/drawing/2014/chart" uri="{C3380CC4-5D6E-409C-BE32-E72D297353CC}">
              <c16:uniqueId val="{00000001-EDC0-4FAD-B5FF-0D65B050C986}"/>
            </c:ext>
          </c:extLst>
        </c:ser>
        <c:ser>
          <c:idx val="2"/>
          <c:order val="2"/>
          <c:tx>
            <c:strRef>
              <c:f>Sheet3!$A$6</c:f>
              <c:strCache>
                <c:ptCount val="1"/>
                <c:pt idx="0">
                  <c:v>2020年第二季度</c:v>
                </c:pt>
              </c:strCache>
            </c:strRef>
          </c:tx>
          <c:spPr>
            <a:solidFill>
              <a:schemeClr val="accent3"/>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Sheet3!$B$6:$I$6</c:f>
              <c:numCache>
                <c:formatCode>0.0</c:formatCode>
                <c:ptCount val="8"/>
                <c:pt idx="0">
                  <c:v>9.860000000000003</c:v>
                </c:pt>
                <c:pt idx="1">
                  <c:v>2.82</c:v>
                </c:pt>
                <c:pt idx="2">
                  <c:v>2.6</c:v>
                </c:pt>
                <c:pt idx="3">
                  <c:v>2.3099999999999992</c:v>
                </c:pt>
                <c:pt idx="4">
                  <c:v>1.78</c:v>
                </c:pt>
                <c:pt idx="5" formatCode="0.00">
                  <c:v>1.29</c:v>
                </c:pt>
                <c:pt idx="6" formatCode="0.00">
                  <c:v>1.3</c:v>
                </c:pt>
                <c:pt idx="7" formatCode="0.00">
                  <c:v>1.31</c:v>
                </c:pt>
              </c:numCache>
            </c:numRef>
          </c:val>
          <c:extLst xmlns:c16r2="http://schemas.microsoft.com/office/drawing/2015/06/chart">
            <c:ext xmlns:c16="http://schemas.microsoft.com/office/drawing/2014/chart" uri="{C3380CC4-5D6E-409C-BE32-E72D297353CC}">
              <c16:uniqueId val="{00000002-EDC0-4FAD-B5FF-0D65B050C986}"/>
            </c:ext>
          </c:extLst>
        </c:ser>
        <c:ser>
          <c:idx val="3"/>
          <c:order val="3"/>
          <c:tx>
            <c:strRef>
              <c:f>Sheet3!$A$7</c:f>
              <c:strCache>
                <c:ptCount val="1"/>
                <c:pt idx="0">
                  <c:v>2020年第三季度</c:v>
                </c:pt>
              </c:strCache>
            </c:strRef>
          </c:tx>
          <c:spPr>
            <a:solidFill>
              <a:schemeClr val="accent4"/>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Sheet3!$B$7:$I$7</c:f>
              <c:numCache>
                <c:formatCode>0.0</c:formatCode>
                <c:ptCount val="8"/>
                <c:pt idx="0">
                  <c:v>12.626434822138879</c:v>
                </c:pt>
                <c:pt idx="1">
                  <c:v>8.154335719968179</c:v>
                </c:pt>
                <c:pt idx="2">
                  <c:v>7.9384020911467221</c:v>
                </c:pt>
                <c:pt idx="3">
                  <c:v>6.8587339470394344</c:v>
                </c:pt>
                <c:pt idx="4">
                  <c:v>4.0288669166950779</c:v>
                </c:pt>
                <c:pt idx="5">
                  <c:v>1.1876349585180135</c:v>
                </c:pt>
                <c:pt idx="6">
                  <c:v>1.3581088760086377</c:v>
                </c:pt>
                <c:pt idx="7">
                  <c:v>0.63643595863166269</c:v>
                </c:pt>
              </c:numCache>
            </c:numRef>
          </c:val>
          <c:extLst xmlns:c16r2="http://schemas.microsoft.com/office/drawing/2015/06/chart">
            <c:ext xmlns:c16="http://schemas.microsoft.com/office/drawing/2014/chart" uri="{C3380CC4-5D6E-409C-BE32-E72D297353CC}">
              <c16:uniqueId val="{00000003-EDC0-4FAD-B5FF-0D65B050C986}"/>
            </c:ext>
          </c:extLst>
        </c:ser>
        <c:gapWidth val="219"/>
        <c:overlap val="-27"/>
        <c:axId val="279163648"/>
        <c:axId val="279165184"/>
      </c:barChart>
      <c:catAx>
        <c:axId val="279163648"/>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9165184"/>
        <c:crosses val="autoZero"/>
        <c:auto val="1"/>
        <c:lblAlgn val="ctr"/>
        <c:lblOffset val="100"/>
      </c:catAx>
      <c:valAx>
        <c:axId val="279165184"/>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916364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319</Characters>
  <Application>Microsoft Office Word</Application>
  <DocSecurity>0</DocSecurity>
  <Lines>2</Lines>
  <Paragraphs>1</Paragraphs>
  <ScaleCrop>false</ScaleCrop>
  <Company>Microsoft</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乔诗凝</dc:creator>
  <cp:lastModifiedBy>sea</cp:lastModifiedBy>
  <cp:revision>2</cp:revision>
  <dcterms:created xsi:type="dcterms:W3CDTF">2021-03-31T01:41:00Z</dcterms:created>
  <dcterms:modified xsi:type="dcterms:W3CDTF">2021-03-31T01:41:00Z</dcterms:modified>
</cp:coreProperties>
</file>