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ascii="Times New Roman" w:hAnsi="Times New Roman" w:eastAsia="宋体" w:cs="Times New Roman"/>
          <w:sz w:val="44"/>
          <w:szCs w:val="44"/>
          <w:lang w:eastAsia="zh-CN"/>
        </w:rPr>
      </w:pPr>
    </w:p>
    <w:p>
      <w:pPr>
        <w:pStyle w:val="10"/>
        <w:ind w:firstLine="640" w:firstLineChars="200"/>
        <w:rPr>
          <w:rFonts w:ascii="Times New Roman" w:hAnsi="Times New Roman" w:eastAsia="仿宋_GB2312" w:cs="Times New Roman"/>
          <w:sz w:val="32"/>
          <w:szCs w:val="32"/>
        </w:rPr>
      </w:pPr>
    </w:p>
    <w:p>
      <w:pPr>
        <w:pStyle w:val="10"/>
        <w:jc w:val="center"/>
        <w:rPr>
          <w:rFonts w:ascii="Times New Roman" w:hAnsi="Times New Roman" w:cs="Times New Roman"/>
          <w:sz w:val="44"/>
          <w:szCs w:val="44"/>
        </w:rPr>
      </w:pPr>
      <w:r>
        <w:rPr>
          <w:rFonts w:ascii="Times New Roman" w:hAnsi="Times New Roman" w:cs="Times New Roman"/>
          <w:sz w:val="44"/>
          <w:szCs w:val="44"/>
        </w:rPr>
        <w:t>医疗事故处理条例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(2002年2月20日国务院第55次常务会议通过　2002年4月4日中华人民共和国国务院令第351号公布　自2002年9月1日起施行)</w:t>
      </w:r>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为了正确处理医疗事故，保护患者和医疗机构及其医务人员的合法权益，维护医疗秩序，保障医疗安全，促进医学科学的发展，制定本条例。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本条例所称医疗事故，是指医疗机构及其医务人员在医疗活动中，违反医疗卫生管理法律、行政法规、部门规章和诊疗护理规范、常规，过失造成患者人身损害的事故。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处理医疗事故，应当遵循公开、公平、公正、及时、便民的原则，坚持实事求是的科学态度，做到事实清楚、定性准确、责任明确、处理恰当。</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根据对患者人身造成的损害程度，医疗事故分为四级：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一级医疗事故：造成患者死亡、重度残疾的；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二级医疗事故：造成患者中度残疾、器官组织损伤导致严重功能障碍的；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三级医疗事故：造成患者轻度残疾、器官组织损伤导致一般功能障碍的；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四级医疗事故：造成患者明显人身损害的其他后果的。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具体分级标准由国务院卫生行政部门制定。</w:t>
      </w:r>
    </w:p>
    <w:p>
      <w:pPr>
        <w:pStyle w:val="3"/>
        <w:bidi w:val="0"/>
      </w:pPr>
      <w:r>
        <w:t>第二章　医疗事故的预防与处置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医疗机构及其医务人员在医疗活动中，必须严格遵守医疗卫生管理法律、行政法规、部门规章和诊疗护理规范、常规，恪守医疗服务职业道德。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医疗机构应当对其医务人员进行医疗卫生管理法律、行政法规、部门规章和诊疗护理规范、常规的培训和医疗服务职业道德教育。</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医疗机构应当设置医疗服务质量监控部门或者配备专(兼)职人员，具体负责监督本医疗机构的医务人员的医疗服务工作，检查医务人员执业情况，接受患者对医疗服务的投诉，向其提供咨询服务。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医疗机构应当按照国务院卫生行政部门规定的要求，书写并妥善保管病历资料。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因抢救急危患者，未能及时书写病历的，有关医务人员应当在抢救结束后6小时内据实补记，并加以注明。</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严禁涂改、伪造、隐匿、销毁或者抢夺病历资料。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患者有权复印或者复制其门诊病历、住院志、体温单、医嘱单、化验单(检验报告)、医学影像检查资料、特殊检查同意书、手术同意书、手术及麻醉记录单、病理资料、护理记录以及国务院卫生行政部门规定的其他病历资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患者依照前款规定要求复印或者复制病历资料的，医疗机构应当提供复印或者复制服务并在复印或者复制的病历资料上加盖证明印记。复印或者复制病历资料时，应当有患者在场。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医疗机构应患者的要求，为其复印或者复制病历资料，可以按照规定收取工本费。具体收费标准由省、自治区、直辖市人民政府价格主管部门会同同级卫生行政部门规定。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在医疗活动中，医疗机构及其医务人员应当将患者的病情、医疗措施、医疗风险等如实告知患者，及时解答其咨询；但是，应当避免对患者产生不利后果。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医疗机构应当制定防范、处理医疗事故的预案，预防医疗事故的发生，减轻医疗事故的损害。</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医务人员在医疗活动中发生或者发现医疗事故、可能引起医疗事故的医疗过失行为或者发生医疗事故争议的，应当立即向所在科室负责人报告，科室负责人应当及时向本医疗机构负责医疗服务质量监控的部门或者专(兼)职人员报告；负责医疗服务质量监控的部门或者专(兼)职人员接到报告后，应当立即进行调查、核实，将有关情况如实向本医疗机构的负责人报告，并向患者通报、解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发生医疗事故的，医疗机构应当按照规定向所在地卫生行政部门报告。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发生下列重大医疗过失行为的，医疗机构应当在12小时内向所在地卫生行政部门报告：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(一)导致患者死亡或者可能为二级以上的医疗事故；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(二)导致3人以上人身损害后果；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(三)国务院卫生行政部门和省、自治区、直辖市人民政府卫生行政部门规定的其他情形。</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发生或者发现医疗过失行为，医疗机构及其医务人员应当立即采取有效措施，避免或者减轻对患者身体健康的损害，防止损害扩大。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发生医疗事故争议时，死亡病例讨论记录、疑难病例讨论记录、上级医师查房记录、会诊意见、病程记录应当在医患双方在场的情况下封存和启封。封存的病历资料可以是复印件，由医疗机构保管。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疑似输液、输血、注射、药物等引起不良后果的，医患双方应当共同对现场实物进行封存和启封，封存的现场实物由医疗机构保管；需要检验的，应当由双方共同指定的、依法具有检验资格的检验机构进行检验；双方无法共同指定时，由卫生行政部门指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疑似输血引起不良后果，需要对血液进行封存保留的，医疗机构应当通知提供该血液的采供血机构派员到场。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患者死亡，医患双方当事人不能确定死因或者对死因有异议的，应当在患者死亡后48小时内进行尸检；具备尸体冻存条件的，可以延长至7日。尸检应当经死者近亲属同意并签字。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尸检应当由按照国家有关规定取得相应资格的机构和病理解剖专业技术人员进行。承担尸检任务的机构和病理解剖专业技术人员有进行尸检的义务。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医疗事故争议双方当事人可以请法医病理学人员参加尸检，也可以委派代表观察尸检过程。拒绝或者拖延尸检，超过规定时间，影响对死因判定的，由拒绝或者拖延的一方承担责任。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患者在医疗机构内死亡的，尸体应当立即移放太平间。死者尸体存放时间一般不得超过2周。逾期不处理的尸体，经医疗机构所在地卫生行政部门批准，并报经同级公安部门备案后，由医疗机构按照规定进行处理。</w:t>
      </w:r>
    </w:p>
    <w:p>
      <w:pPr>
        <w:pStyle w:val="3"/>
        <w:bidi w:val="0"/>
      </w:pPr>
      <w:r>
        <w:t>第三章　医疗事故的技术鉴定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卫生行政部门接到医疗机构关于重大医疗过失行为的报告或者医疗事故争议当事人要求处理医疗事故争议的申请后，对需要进行医疗事故技术鉴定的，应当交由负责医疗事故技术鉴定工作的医学会组织鉴定；医患双方协商解决医疗事故争议，需要进行医疗事故技术鉴定的，由双方当事人共同委托负责医疗事故技术鉴定工作的医学会组织鉴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设区的市级地方医学会和省、自治区、直辖市直接管辖的县(市)地方医学会负责组织首次医疗事故技术鉴定工作。省、自治区、直辖市地方医学会负责组织再次鉴定工作。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必要时，中华医学会可以组织疑难、复杂并在全国有重大影响的医疗事故争议的技术鉴定工作。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当事人对首次医疗事故技术鉴定结论不服的，可以自收到首次鉴定结论之日起15日内向医疗机构所在地卫生行政部门提出再次鉴定的申请。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负责组织医疗事故技术鉴定工作的医学会应当建立专家库。</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专家库由具备下列条件的医疗卫生专业技术人员组成：</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(一)有良好的业务素质和执业品德；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(二)受聘于医疗卫生机构或者医学教学、科研机构并担任相应专业高级技术职务3年以上。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符合前款第(一)项规定条件并具备高级技术任职资格的法医可以受聘进入专家库。</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负责组织医疗事故技术鉴定工作的医学会依照本条例规定聘请医疗卫生专业技术人员和法医进入专家库，可以不受行政区域的限制。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医疗事故技术鉴定，由负责组织医疗事故技术鉴定工作的医学会组织专家鉴定组进行。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加医疗事故技术鉴定的相关专业的专家，由医患双方在医学会主持下从专家库中随机抽取。在特殊情况下，医学会根据医疗事故技术鉴定工作的需要，可以组织医患双方在其他医学会建立的专家库中随机抽取相关专业的专家参加鉴定或者函件咨询。</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符合本条例第二十三条规定条件的医疗卫生专业技术人员和法医有义务受聘进入专家库，并承担医疗事故技术鉴定工作。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专家鉴定组进行医疗事故技术鉴定，实行合议制。专家鉴定组人数为单数，涉及的主要学科的专家一般不得少于鉴定组成员的二分之一；涉及死因、伤残等级鉴定的，并应当从专家库中随机抽取法医参加专家鉴定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专家鉴定组成员有下列情形之一的，应当回避，当事人也可以以口头或者书面的方式申请其回避：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(一)是医疗事故争议当事人或者当事人的近亲属的；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(二)与医疗事故争议有利害关系的；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(三)与医疗事故争议当事人有其他关系，可能影响公正鉴定的。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专家鉴定组依照医疗卫生管理法律、行政法规、部门规章和诊疗护理规范、常规，运用医学科学原理和专业知识，独立进行医疗事故技术鉴定，对医疗事故进行鉴别和判定，为处理医疗事故争议提供医学依据。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任何单位或者个人不得干扰医疗事故技术鉴定工作，不得威胁、利诱、辱骂、殴打专家鉴定组成员。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专家鉴定组成员不得接受双方当事人的财物或者其他利益。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负责组织医疗事故技术鉴定工作的医学会应当自受理医疗事故技术鉴定之日起5日内通知医疗事故争议双方当事人提交进行医疗事故技术鉴定所需的材料。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当事人应当自收到医学会的通知之日起10日内提交有关医疗事故技术鉴定的材料、书面陈述及答辩。医疗机构提交的有关医疗事故技术鉴定的材料应当包括下列内容：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(一)住院患者的病程记录、死亡病例讨论记录、疑难病例讨论记录、会诊意见、上级医师查房记录等病历资料原件；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(二)住院患者的住院志、体温单、医嘱单、化验单(检验报告)、医学影像检查资料、特殊检查同意书、手术同意书、手术及麻醉记录单、病理资料、护理记录等病历资料原件；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(三)抢救急危患者，在规定时间内补记的病历资料原件；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(四)封存保留的输液、注射用物品和血液、药物等实物，或者依法具有检验资格的检验机构对这些物品、实物作出的检验报告；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(五)与医疗事故技术鉴定有关的其他材料。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在医疗机构建有病历档案的门诊、急诊患者，其病历资料由医疗机构提供；没有在医疗机构建立病历档案的，由患者提供。</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医患双方应当依照本条例的规定提交相关材料。医疗机构无正当理由未依照本条例的规定如实提供相关材料，导致医疗事故技术鉴定不能进行的，应当承担责任。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负责组织医疗事故技术鉴定工作的医学会应当自接到当事人提交的有关医疗事故技术鉴定的材料、书面陈述及答辩之日起45日内组织鉴定并出具医疗事故技术鉴定书。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负责组织医疗事故技术鉴定工作的医学会可以向双方当事人调查取证。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专家鉴定组应当认真审查双方当事人提交的材料，听取双方当事人的陈述及答辩并进行核实。</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双方当事人应当按照本条例的规定如实提交进行医疗事故技术鉴定所需要的材料，并积极配合调查。当事人任何一方不予配合，影响医疗事故技术鉴定的，由不予配合的一方承担责任。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专家鉴定组应当在事实清楚、证据确凿的基础上，综合分析患者的病情和个体差异，作出鉴定结论，并制作医疗事故技术鉴定书。鉴定结论以专家鉴定组成员的过半数通过。鉴定过程应当如实记载。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医疗事故技术鉴定书应当包括下列主要内容：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(一)双方当事人的基本情况及要求；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(二)当事人提交的材料和负责组织医疗事故技术鉴定工作的医学会的调查材料；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(三)对鉴定过程的说明；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(四)医疗行为是否违反医疗卫生管理法律、行政法规、部门规章和诊疗护理规范、常规；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(五)医疗过失行为与人身损害后果之间是否存在因果关系；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(六)医疗过失行为在医疗事故损害后果中的责任程度；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(七)医疗事故等级；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(八)对医疗事故患者的医疗护理医学建议。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医疗事故技术鉴定办法由国务院卫生行政部门制定。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有下列情形之一的，不属于医疗事故：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(一)在紧急情况下为抢救垂危患者生命而采取紧急医学措施造成不良后果的；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(二)在医疗活动中由于患者病情异常或者患者体质特殊而发生医疗意外的；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(三)在现有医学科学技术条件下，发生无法预料或者不能防范的不良后果的；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(四)无过错输血感染造成不良后果的；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(五)因患方原因延误诊疗导致不良后果的；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(六)因不可抗力造成不良后果的。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医疗事故技术鉴定，可以收取鉴定费用。经鉴定，属于医疗事故的，鉴定费用由医疗机构支付；不属于医疗事故的，鉴定费用由提出医疗事故处理申请的一方支付。鉴定费用标准由省、自治区、直辖市人民政府价格主管部门会同同级财政部门、卫生行政部门规定。</w:t>
      </w:r>
    </w:p>
    <w:p>
      <w:pPr>
        <w:pStyle w:val="3"/>
        <w:bidi w:val="0"/>
      </w:pPr>
      <w:r>
        <w:t>第四章　医疗事故的行政处理与监督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卫生行政部门应当依照本条例和有关法律、行政法规、部门规章的规定，对发生医疗事故的医疗机构和医务人员作出行政处理。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卫生行政部门接到医疗机构关于重大医疗过失行为的报告后，除责令医疗机构及时采取必要的医疗救治措施，防止损害后果扩大外，应当组织调查，判定是否属于医疗事故；对不能判定是否属于医疗事故的，应当依照本条例的有关规定交由负责医疗事故技术鉴定工作的医学会组织鉴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发生医疗事故争议，当事人申请卫生行政部门处理的，应当提出书面申请。申请书应当载明申请人的基本情况、有关事实、具体请求及理由等。</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当事人自知道或者应当知道其身体健康受到损害之日起1年内，可以向卫生行政部门提出医疗事故争议处理申请。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发生医疗事故争议，当事人申请卫生行政部门处理的，由医疗机构所在地的县级人民政府卫生行政部门受理。医疗机构所在地是直辖市的，由医疗机构所在地的区、县人民政府卫生行政部门受理。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有下列情形之一的，县级人民政府卫生行政部门应当自接到医疗机构的报告或者当事人提出医疗事故争议处理申请之日起7日内移送上一级人民政府卫生行政部门处理：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(一)患者死亡；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(二)可能为二级以上的医疗事故；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(三)国务院卫生行政部门和省、自治区、直辖市人民政府卫生行政部门规定的其他情形。</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卫生行政部门应当自收到医疗事故争议处理申请之日起10日内进行审查，作出是否受理的决定。对符合本条例规定，予以受理，需要进行医疗事故技术鉴定的，应当自作出受理决定之日起5日内将有关材料交由负责医疗事故技术鉴定工作的医学会组织鉴定并书面通知申请人；对不符合本条例规定，不予受理的，应当书面通知申请人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当事人对首次医疗事故技术鉴定结论有异议，申请再次鉴定的，卫生行政部门应当自收到申请之日起7日内交由省、自治区、直辖市地方医学会组织再次鉴定。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当事人既向卫生行政部门提出医疗事故争议处理申请，又向人民法院提起诉讼的，卫生行政部门不予受理；卫生行政部门已经受理的，应当终止处理。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卫生行政部门收到负责组织医疗事故技术鉴定工作的医学会出具的医疗事故技术鉴定书后，应当对参加鉴定的人员资格和专业类别、鉴定程序进行审核；必要时，可以组织调查，听取医疗事故争议双方当事人的意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卫生行政部门经审核，对符合本条例规定作出的医疗事故技术鉴定结论，应当作为对发生医疗事故的医疗机构和医务人员作出行政处理以及进行医疗事故赔偿调解的依据；经审核，发现医疗事故技术鉴定不符合本条例规定的，应当要求重新鉴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医疗事故争议由双方当事人自行协商解决的，医疗机构应当自协商解决之日起7日内向所在地卫生行政部门作出书面报告，并附具协议书。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医疗事故争议经人民法院调解或者判决解决的，医疗机构应当自收到生效的人民法院的调解书或者判决书之日起7日内向所在地卫生行政部门作出书面报告，并附具调解书或者判决书。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县级以上地方人民政府卫生行政部门应当按照规定逐级将当地发生的医疗事故以及依法对发生医疗事故的医疗机构和医务人员作出行政处理的情况，上报国务院卫生行政部门。</w:t>
      </w:r>
    </w:p>
    <w:p>
      <w:pPr>
        <w:pStyle w:val="3"/>
        <w:bidi w:val="0"/>
      </w:pPr>
      <w:r>
        <w:t>第五章　医疗事故的赔偿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发生医疗事故的赔偿等民事责任争议，医患双方可以协商解决；不愿意协商或者协商不成的，当事人可以向卫生行政部门提出调解申请，也可以直接向人民法院提起民事诉讼。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双方当事人协商解决医疗事故的赔偿等民事责任争议的，应当制作协议书。协议书应当载明双方当事人的基本情况和医疗事故的原因、双方当事人共同认定的医疗事故等级以及协商确定的赔偿数额等，并由双方当事人在协议书上签名。</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已确定为医疗事故的，卫生行政部门应医疗事故争议双方当事人请求，可以进行医疗事故赔偿调解。调解时，应当遵循当事人双方自愿原则，并应当依据本条例的规定计算赔偿数额。</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经调解，双方当事人就赔偿数额达成协议的，制作调解书，双方当事人应当履行；调解不成或者经调解达成协议后一方反悔的，卫生行政部门不再调解。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医疗事故赔偿，应当考虑下列因素，确定具体赔偿数额：</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(一)医疗事故等级；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(二)医疗过失行为在医疗事故损害后果中的责任程度；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(三)医疗事故损害后果与患者原有疾病状况之间的关系。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不属于医疗事故的，医疗机构不承担赔偿责任。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医疗事故赔偿，按照下列项目和标准计算：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(一)医疗费：按照医疗事故对患者造成的人身损害进行治疗所发生的医疗费用计算，凭据支付，但不包括原发病医疗费用。结案后确实需要继续治疗的，按照基本医疗费用支付。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误工费：患者有固定收入的，按照本人因误工减少的固定收入计算，对收入高于医疗事故发生地上一年度职工年平均工资3倍以上的，按照3倍计算；无固定收入的，按照医疗事故发生地上一年度职工年平均工资计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(三)住院伙食补助费：按照医疗事故发生地国家机关一般工作人员的出差伙食补助标准计算。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(四)陪护费：患者住院期间需要专人陪护的，按照医疗事故发生地上一年度职工年平均工资计算。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(五)残疾生活补助费：根据伤残等级，按照医疗事故发生地居民年平均生活费计算，自定残之月起最长赔偿30年；但是，60周岁以上的，不超过15年；70周岁以上的，不超过5年。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(六)残疾用具费：因残疾需要配置补偿功能器具的，凭医疗机构证明，按照普及型器具的费用计算。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(七)丧葬费：按照医疗事故发生地规定的丧葬费补助标准计算。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被扶养人生活费：以死者生前或者残疾者丧失劳动能力前实际扶养且没有劳动能力的人为限，按照其户籍所在地或者居所地居民最低生活保障标准计算。对不满16周岁的，扶养到16周岁。对年满16周岁但无劳动能力的，扶养20年；但是，60周岁以上的，不超过15年；70周岁以上的，不超过5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(九)交通费：按照患者实际必需的交通费用计算，凭据支付。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(十)住宿费：按照医疗事故发生地国家机关一般工作人员的出差住宿补助标准计算，凭据支付。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(十一)精神损害抚慰金：按照医疗事故发生地居民年平均生活费计算。造成患者死亡的，赔偿年限最长不超过6年；造成患者残疾的，赔偿年限最长不超过3年。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参加医疗事故处理的患者近亲属所需交通费、误工费、住宿费，参照本条例第五十条的有关规定计算，计算费用的人数不超过2人。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医疗事故造成患者死亡的，参加丧葬活动的患者的配偶和直系亲属所需交通费、误工费、住宿费，参照本条例第五十条的有关规定计算，计算费用的人数不超过2人。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医疗事故赔偿费用，实行一次性结算，由承担医疗事故责任的医疗机构支付。</w:t>
      </w:r>
    </w:p>
    <w:p>
      <w:pPr>
        <w:pStyle w:val="3"/>
        <w:bidi w:val="0"/>
      </w:pPr>
      <w:r>
        <w:t>第六章　罚则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卫生行政部门的工作人员在处理医疗事故过程中违反本条例的规定，利用职务上的便利收受他人财物或者其他利益，滥用职权，玩忽职守，或者发现违法行为不予查处，造成严重后果的，依照刑法关于受贿罪、滥用职权罪、玩忽职守罪或者其他有关罪的规定，依法追究刑事责任；尚不够刑事处罚的，依法给予降级或者撤职的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卫生行政部门违反本条例的规定，有下列情形之一的，由上级卫生行政部门给予警告并责令限期改正；情节严重的，对负有责任的主管人员和其他直接责任人员依法给予行政处分：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(一)接到医疗机构关于重大医疗过失行为的报告后，未及时组织调查的；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(二)接到医疗事故争议处理申请后，未在规定时间内审查或者移送上一级人民政府卫生行政部门处理的；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(三)未将应当进行医疗事故技术鉴定的重大医疗过失行为或者医疗事故争议移交医学会组织鉴定的；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(四)未按照规定逐级将当地发生的医疗事故以及依法对发生医疗事故的医疗机构和医务人员的行政处理情况上报的；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(五)未依照本条例规定审核医疗事故技术鉴定书的。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　</w:t>
      </w:r>
      <w:r>
        <w:rPr>
          <w:rFonts w:ascii="Times New Roman" w:hAnsi="Times New Roman" w:eastAsia="仿宋_GB2312" w:cs="Times New Roman"/>
          <w:sz w:val="32"/>
          <w:szCs w:val="32"/>
        </w:rPr>
        <w:t>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对发生医疗事故的有关医务人员，除依照前款处罚外，卫生行政部门并可以责令暂停6个月以上1年以下执业活动；情节严重的，吊销其执业证书。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第五十六条　</w:t>
      </w:r>
      <w:r>
        <w:rPr>
          <w:rFonts w:ascii="Times New Roman" w:hAnsi="Times New Roman" w:eastAsia="仿宋_GB2312" w:cs="Times New Roman"/>
          <w:sz w:val="32"/>
          <w:szCs w:val="32"/>
        </w:rPr>
        <w:t>医疗机构违反本条例的规定，有下列情形之一的，由卫生行政部门责令改正；情节严重的，对负有责任的主管人员和其他直接责任人员依法给予行政处分或者纪律处分：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(一)未如实告知患者病情、医疗措施和医疗风险的；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(二)没有正当理由，拒绝为患者提供复印或者复制病历资料服务的；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(三)未按照国务院卫生行政部门规定的要求书写和妥善保管病历资料的；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(四)未在规定时间内补记抢救工作病历内容的；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(五)未按照本条例的规定封存、保管和启封病历资料和实物的；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(六)未设置医疗服务质量监控部门或者配备专(兼)职人员的；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(七)未制定有关医疗事故防范和处理预案的；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(八)未在规定时间内向卫生行政部门报告重大医疗过失行为的；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(九)未按照本条例的规定向卫生行政部门报告医疗事故的；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(十)未按照规定进行尸检和保存、处理尸体的。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第五十七条　</w:t>
      </w:r>
      <w:r>
        <w:rPr>
          <w:rFonts w:ascii="Times New Roman" w:hAnsi="Times New Roman" w:eastAsia="仿宋_GB2312" w:cs="Times New Roman"/>
          <w:sz w:val="32"/>
          <w:szCs w:val="32"/>
        </w:rPr>
        <w:t>参加医疗事故技术鉴定工作的人员违反本条例的规定，接受申请鉴定双方或者一方当事人的财物或者其他利益，出具虚假医疗事故技术鉴定书，造成严重后果的，依照刑法关于受贿罪的规定，依法追究刑事责任；尚不够刑事处罚的，由原发证部门吊销其执业证书或者资格证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第五十八条　</w:t>
      </w:r>
      <w:r>
        <w:rPr>
          <w:rFonts w:ascii="Times New Roman" w:hAnsi="Times New Roman" w:eastAsia="仿宋_GB2312" w:cs="Times New Roman"/>
          <w:sz w:val="32"/>
          <w:szCs w:val="32"/>
        </w:rPr>
        <w:t>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(一)承担尸检任务的机构没有正当理由，拒绝进行尸检的；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(二)涂改、伪造、隐匿、销毁病历资料的。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第五十九条　</w:t>
      </w:r>
      <w:r>
        <w:rPr>
          <w:rFonts w:ascii="Times New Roman" w:hAnsi="Times New Roman" w:eastAsia="仿宋_GB2312" w:cs="Times New Roman"/>
          <w:sz w:val="32"/>
          <w:szCs w:val="32"/>
        </w:rPr>
        <w:t>以医疗事故为由，寻衅滋事、抢夺病历资料，扰乱医疗机构正常医疗秩序和医疗事故技术鉴定工作，依照刑法关于扰乱社会秩序罪的规定，依法追究刑事责任；尚不够刑事处罚的，依法给予治安管理处罚。</w:t>
      </w:r>
    </w:p>
    <w:p>
      <w:pPr>
        <w:pStyle w:val="3"/>
        <w:bidi w:val="0"/>
      </w:pPr>
      <w:r>
        <w:t>第七章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第六十条　</w:t>
      </w:r>
      <w:r>
        <w:rPr>
          <w:rFonts w:ascii="Times New Roman" w:hAnsi="Times New Roman" w:eastAsia="仿宋_GB2312" w:cs="Times New Roman"/>
          <w:sz w:val="32"/>
          <w:szCs w:val="32"/>
        </w:rPr>
        <w:t>本条例所称医疗机构，是指依照《医疗机构管理条例》的规定取得《医疗机构执业许可证》的机构。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城市从事计划生育技术服务的机构依照《计划生育技术服务管理条例》的规定开展与计划生育有关的临床医疗服务，发生的计划生育技术服务事故，依照本条例的有关规定处理；但是，其中不属于医疗机构的县级以上城市从事计划生育技术服务的机构发生的计划生育技术服务事故，由计划生育行政部门行使依</w:t>
      </w:r>
      <w:r>
        <w:rPr>
          <w:rFonts w:ascii="Times New Roman" w:hAnsi="Times New Roman" w:eastAsia="仿宋_GB2312" w:cs="Times New Roman"/>
          <w:spacing w:val="-6"/>
          <w:sz w:val="32"/>
          <w:szCs w:val="32"/>
        </w:rPr>
        <w:t>照本条例有关规定由卫生行政部门承担的受理、交由负责医疗事故技术鉴定工作的医学会组织鉴定和赔偿调解的职能；对发生计划生育技术服务事故的</w:t>
      </w:r>
      <w:r>
        <w:rPr>
          <w:rFonts w:ascii="Times New Roman" w:hAnsi="Times New Roman" w:eastAsia="仿宋_GB2312" w:cs="Times New Roman"/>
          <w:sz w:val="32"/>
          <w:szCs w:val="32"/>
        </w:rPr>
        <w:t>该机构及其有关责任人员，依法进行处理。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第六十一条　</w:t>
      </w:r>
      <w:r>
        <w:rPr>
          <w:rFonts w:ascii="Times New Roman" w:hAnsi="Times New Roman" w:eastAsia="仿宋_GB2312" w:cs="Times New Roman"/>
          <w:sz w:val="32"/>
          <w:szCs w:val="32"/>
        </w:rPr>
        <w:t>非法行医，造成患者人身损害，不属于医疗事故，触犯刑律的，依法追究刑事责任；有关赔偿，由受害人直接向人民法院提起诉讼。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第六十二条　</w:t>
      </w:r>
      <w:r>
        <w:rPr>
          <w:rFonts w:ascii="Times New Roman" w:hAnsi="Times New Roman" w:eastAsia="仿宋_GB2312" w:cs="Times New Roman"/>
          <w:sz w:val="32"/>
          <w:szCs w:val="32"/>
        </w:rPr>
        <w:t>军队医疗机构的医疗事故处理办法，由中国人</w:t>
      </w:r>
      <w:bookmarkStart w:id="0" w:name="_GoBack"/>
      <w:r>
        <w:rPr>
          <w:rFonts w:ascii="Times New Roman" w:hAnsi="Times New Roman" w:eastAsia="仿宋_GB2312" w:cs="Times New Roman"/>
          <w:spacing w:val="-6"/>
          <w:sz w:val="32"/>
          <w:szCs w:val="32"/>
        </w:rPr>
        <w:t>民解放军卫生主管部门会同国务院卫生行政部门依据本条例</w:t>
      </w:r>
      <w:bookmarkEnd w:id="0"/>
      <w:r>
        <w:rPr>
          <w:rFonts w:ascii="Times New Roman" w:hAnsi="Times New Roman" w:eastAsia="仿宋_GB2312" w:cs="Times New Roman"/>
          <w:sz w:val="32"/>
          <w:szCs w:val="32"/>
        </w:rPr>
        <w:t>制定。</w:t>
      </w:r>
    </w:p>
    <w:p>
      <w:pPr>
        <w:pStyle w:val="10"/>
        <w:ind w:firstLine="640" w:firstLineChars="200"/>
        <w:rPr>
          <w:rFonts w:hint="eastAsia"/>
          <w:lang w:eastAsia="zh-CN"/>
        </w:rPr>
      </w:pPr>
      <w:r>
        <w:rPr>
          <w:rFonts w:ascii="Times New Roman" w:hAnsi="Times New Roman" w:eastAsia="黑体" w:cs="Times New Roman"/>
          <w:sz w:val="32"/>
          <w:szCs w:val="32"/>
        </w:rPr>
        <w:t>第六十三条　</w:t>
      </w:r>
      <w:r>
        <w:rPr>
          <w:rFonts w:ascii="Times New Roman" w:hAnsi="Times New Roman" w:eastAsia="仿宋_GB2312" w:cs="Times New Roman"/>
          <w:sz w:val="32"/>
          <w:szCs w:val="32"/>
        </w:rPr>
        <w:t>本条例自2002年9月1日起施行。1987年6月29日国务院发布的《医疗事故处理办法》同时废止。本条例施行前已经处理结案的医疗事故争议，不再重新处理。</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4845F0"/>
    <w:rsid w:val="0963250F"/>
    <w:rsid w:val="09723D9C"/>
    <w:rsid w:val="097F7BAD"/>
    <w:rsid w:val="09B60066"/>
    <w:rsid w:val="0A6920EC"/>
    <w:rsid w:val="0A8C2526"/>
    <w:rsid w:val="0AE962F4"/>
    <w:rsid w:val="0AEB2A0D"/>
    <w:rsid w:val="0B1D5B42"/>
    <w:rsid w:val="0B3D0578"/>
    <w:rsid w:val="0C255D01"/>
    <w:rsid w:val="0C297D97"/>
    <w:rsid w:val="0CD74830"/>
    <w:rsid w:val="0D3C4224"/>
    <w:rsid w:val="0D610029"/>
    <w:rsid w:val="0D88679D"/>
    <w:rsid w:val="0DFE10B9"/>
    <w:rsid w:val="107A4DEE"/>
    <w:rsid w:val="10A47D69"/>
    <w:rsid w:val="11366EEC"/>
    <w:rsid w:val="11A80578"/>
    <w:rsid w:val="12146020"/>
    <w:rsid w:val="12C10B30"/>
    <w:rsid w:val="134A1994"/>
    <w:rsid w:val="136642BB"/>
    <w:rsid w:val="142327B5"/>
    <w:rsid w:val="14484CDF"/>
    <w:rsid w:val="155E2CB3"/>
    <w:rsid w:val="157124FD"/>
    <w:rsid w:val="15B17054"/>
    <w:rsid w:val="16173655"/>
    <w:rsid w:val="16E85B46"/>
    <w:rsid w:val="174517D7"/>
    <w:rsid w:val="18413C16"/>
    <w:rsid w:val="18971E78"/>
    <w:rsid w:val="1957540A"/>
    <w:rsid w:val="198A0A54"/>
    <w:rsid w:val="19B07609"/>
    <w:rsid w:val="19DB6C33"/>
    <w:rsid w:val="1A970B23"/>
    <w:rsid w:val="1ABC528A"/>
    <w:rsid w:val="1BAF2172"/>
    <w:rsid w:val="1C9212F7"/>
    <w:rsid w:val="1D3C1240"/>
    <w:rsid w:val="1D721751"/>
    <w:rsid w:val="1DA140F8"/>
    <w:rsid w:val="1FE16FBA"/>
    <w:rsid w:val="2037230C"/>
    <w:rsid w:val="2096095A"/>
    <w:rsid w:val="20D86240"/>
    <w:rsid w:val="21CE0F2E"/>
    <w:rsid w:val="221D0BEA"/>
    <w:rsid w:val="22DD4281"/>
    <w:rsid w:val="253620CC"/>
    <w:rsid w:val="25981EEB"/>
    <w:rsid w:val="25BF3D61"/>
    <w:rsid w:val="25F044FF"/>
    <w:rsid w:val="26A760E3"/>
    <w:rsid w:val="26C10A61"/>
    <w:rsid w:val="26CA1A3A"/>
    <w:rsid w:val="26DF6D2B"/>
    <w:rsid w:val="27680A3B"/>
    <w:rsid w:val="27A96F19"/>
    <w:rsid w:val="2834230D"/>
    <w:rsid w:val="287A18EA"/>
    <w:rsid w:val="28F8723D"/>
    <w:rsid w:val="2A8D0D45"/>
    <w:rsid w:val="2B01664D"/>
    <w:rsid w:val="2C7458A4"/>
    <w:rsid w:val="2D644059"/>
    <w:rsid w:val="2DBE0D65"/>
    <w:rsid w:val="2DDE6B1E"/>
    <w:rsid w:val="2E1B43B4"/>
    <w:rsid w:val="2E5D5F12"/>
    <w:rsid w:val="2ED32E01"/>
    <w:rsid w:val="2FB37B4F"/>
    <w:rsid w:val="2FF20DF5"/>
    <w:rsid w:val="309802D5"/>
    <w:rsid w:val="318138A8"/>
    <w:rsid w:val="31F05688"/>
    <w:rsid w:val="320E2B0A"/>
    <w:rsid w:val="32252208"/>
    <w:rsid w:val="3242780E"/>
    <w:rsid w:val="330D4027"/>
    <w:rsid w:val="3330356C"/>
    <w:rsid w:val="33CF5811"/>
    <w:rsid w:val="34031BBE"/>
    <w:rsid w:val="347F2CDC"/>
    <w:rsid w:val="349C60FB"/>
    <w:rsid w:val="35095248"/>
    <w:rsid w:val="355560D1"/>
    <w:rsid w:val="386D21AD"/>
    <w:rsid w:val="387E7233"/>
    <w:rsid w:val="39C71577"/>
    <w:rsid w:val="3A7915E5"/>
    <w:rsid w:val="3B1265AF"/>
    <w:rsid w:val="3B596812"/>
    <w:rsid w:val="3BA0652C"/>
    <w:rsid w:val="3C372D12"/>
    <w:rsid w:val="3CA23060"/>
    <w:rsid w:val="3CAF6F9F"/>
    <w:rsid w:val="3CDF39C7"/>
    <w:rsid w:val="3D762392"/>
    <w:rsid w:val="3DFC6899"/>
    <w:rsid w:val="3E3675FB"/>
    <w:rsid w:val="3EEC1919"/>
    <w:rsid w:val="3F800236"/>
    <w:rsid w:val="3F8C783C"/>
    <w:rsid w:val="3FC97A54"/>
    <w:rsid w:val="40226A0B"/>
    <w:rsid w:val="40C1378F"/>
    <w:rsid w:val="40DC5AC3"/>
    <w:rsid w:val="40F66CF8"/>
    <w:rsid w:val="40FE47B4"/>
    <w:rsid w:val="41B857FD"/>
    <w:rsid w:val="429465D8"/>
    <w:rsid w:val="431B4937"/>
    <w:rsid w:val="434336CE"/>
    <w:rsid w:val="4361706F"/>
    <w:rsid w:val="43CA1521"/>
    <w:rsid w:val="43D46F84"/>
    <w:rsid w:val="444B0E8A"/>
    <w:rsid w:val="454D6241"/>
    <w:rsid w:val="45866A2B"/>
    <w:rsid w:val="46D80A88"/>
    <w:rsid w:val="46EE0064"/>
    <w:rsid w:val="47793996"/>
    <w:rsid w:val="47A250A3"/>
    <w:rsid w:val="48AC4D69"/>
    <w:rsid w:val="494B3B16"/>
    <w:rsid w:val="49C224BB"/>
    <w:rsid w:val="4A4F5FBC"/>
    <w:rsid w:val="4A732A37"/>
    <w:rsid w:val="4B2E2D61"/>
    <w:rsid w:val="4C062CA1"/>
    <w:rsid w:val="4D7C1855"/>
    <w:rsid w:val="4DC87E21"/>
    <w:rsid w:val="4E4E7955"/>
    <w:rsid w:val="4E6A2FDF"/>
    <w:rsid w:val="4EDF3D2B"/>
    <w:rsid w:val="4EED79F5"/>
    <w:rsid w:val="5080370D"/>
    <w:rsid w:val="50E01964"/>
    <w:rsid w:val="512A1D93"/>
    <w:rsid w:val="5146198F"/>
    <w:rsid w:val="51F44E31"/>
    <w:rsid w:val="523F45D1"/>
    <w:rsid w:val="524F6E89"/>
    <w:rsid w:val="52695AB4"/>
    <w:rsid w:val="529D4C7B"/>
    <w:rsid w:val="53BF5C69"/>
    <w:rsid w:val="53DA0A43"/>
    <w:rsid w:val="54031803"/>
    <w:rsid w:val="54942BB0"/>
    <w:rsid w:val="55B865F8"/>
    <w:rsid w:val="55C0390E"/>
    <w:rsid w:val="55D520AC"/>
    <w:rsid w:val="566F7832"/>
    <w:rsid w:val="56E91124"/>
    <w:rsid w:val="575D4E2E"/>
    <w:rsid w:val="577F6B33"/>
    <w:rsid w:val="58035B31"/>
    <w:rsid w:val="58F6185E"/>
    <w:rsid w:val="591257DC"/>
    <w:rsid w:val="5B353B99"/>
    <w:rsid w:val="5B6D42C1"/>
    <w:rsid w:val="5C223266"/>
    <w:rsid w:val="5CD313A5"/>
    <w:rsid w:val="5D0B40ED"/>
    <w:rsid w:val="5D101449"/>
    <w:rsid w:val="5DB22BFD"/>
    <w:rsid w:val="5DD739B2"/>
    <w:rsid w:val="5E900D37"/>
    <w:rsid w:val="5F5011B7"/>
    <w:rsid w:val="5F88093C"/>
    <w:rsid w:val="5FDB251D"/>
    <w:rsid w:val="60492E1B"/>
    <w:rsid w:val="60FB7125"/>
    <w:rsid w:val="61152047"/>
    <w:rsid w:val="620467BA"/>
    <w:rsid w:val="622D2BEC"/>
    <w:rsid w:val="62F60DE0"/>
    <w:rsid w:val="63DD0DD3"/>
    <w:rsid w:val="63DE7402"/>
    <w:rsid w:val="641F5EE8"/>
    <w:rsid w:val="642517C4"/>
    <w:rsid w:val="649C0E8F"/>
    <w:rsid w:val="65152017"/>
    <w:rsid w:val="65532802"/>
    <w:rsid w:val="65BF6566"/>
    <w:rsid w:val="665D25F4"/>
    <w:rsid w:val="66E50FB1"/>
    <w:rsid w:val="674048E2"/>
    <w:rsid w:val="67D71794"/>
    <w:rsid w:val="68426F20"/>
    <w:rsid w:val="68715924"/>
    <w:rsid w:val="6A403C00"/>
    <w:rsid w:val="6A49703B"/>
    <w:rsid w:val="6B120859"/>
    <w:rsid w:val="6B4C7D1B"/>
    <w:rsid w:val="6C267EB4"/>
    <w:rsid w:val="6CD653AF"/>
    <w:rsid w:val="6D1363D3"/>
    <w:rsid w:val="6D15429C"/>
    <w:rsid w:val="6D614426"/>
    <w:rsid w:val="6DA577A5"/>
    <w:rsid w:val="6DB8609B"/>
    <w:rsid w:val="6DB87D30"/>
    <w:rsid w:val="6E804287"/>
    <w:rsid w:val="6EB30283"/>
    <w:rsid w:val="6F605325"/>
    <w:rsid w:val="6FAA67D8"/>
    <w:rsid w:val="705926FD"/>
    <w:rsid w:val="70817970"/>
    <w:rsid w:val="712B5699"/>
    <w:rsid w:val="72A30A90"/>
    <w:rsid w:val="72AE5309"/>
    <w:rsid w:val="72C042BE"/>
    <w:rsid w:val="735A6A5C"/>
    <w:rsid w:val="746D1278"/>
    <w:rsid w:val="762C29D0"/>
    <w:rsid w:val="768C0C3C"/>
    <w:rsid w:val="76975133"/>
    <w:rsid w:val="769B60FD"/>
    <w:rsid w:val="76C10F77"/>
    <w:rsid w:val="77D8678E"/>
    <w:rsid w:val="78061DFD"/>
    <w:rsid w:val="7814798C"/>
    <w:rsid w:val="7819740D"/>
    <w:rsid w:val="789F59B2"/>
    <w:rsid w:val="78E10B53"/>
    <w:rsid w:val="78ED2B64"/>
    <w:rsid w:val="7A224A32"/>
    <w:rsid w:val="7A4B0114"/>
    <w:rsid w:val="7A6D55E9"/>
    <w:rsid w:val="7ABD49CD"/>
    <w:rsid w:val="7AEB1C22"/>
    <w:rsid w:val="7BA85469"/>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1</TotalTime>
  <ScaleCrop>false</ScaleCrop>
  <LinksUpToDate>false</LinksUpToDate>
  <CharactersWithSpaces>1790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2019-06-04T07:13:05Z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