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44"/>
          <w:szCs w:val="44"/>
        </w:rPr>
      </w:pPr>
      <w:r>
        <w:rPr>
          <w:rFonts w:ascii="Times New Roman" w:hAnsi="Times New Roman" w:cs="Times New Roman"/>
          <w:sz w:val="44"/>
          <w:szCs w:val="44"/>
        </w:rPr>
        <w:t>麻醉药品和精神药品管理条例</w:t>
      </w:r>
    </w:p>
    <w:p>
      <w:pPr>
        <w:pStyle w:val="10"/>
        <w:ind w:firstLine="640" w:firstLineChars="200"/>
        <w:jc w:val="center"/>
        <w:rPr>
          <w:rFonts w:ascii="Times New Roman" w:hAnsi="Times New Roman" w:cs="Times New Roman"/>
          <w:sz w:val="32"/>
          <w:szCs w:val="32"/>
        </w:rPr>
      </w:pPr>
    </w:p>
    <w:p>
      <w:pPr>
        <w:pStyle w:val="10"/>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bookmarkStart w:id="0" w:name="_GoBack"/>
      <w:r>
        <w:rPr>
          <w:rFonts w:ascii="Times New Roman" w:hAnsi="Times New Roman" w:eastAsia="楷体_GB2312" w:cs="Times New Roman"/>
          <w:spacing w:val="-6"/>
          <w:sz w:val="32"/>
          <w:szCs w:val="32"/>
        </w:rPr>
        <w:t>2005年8月3日中华人民共和国国务院令第442号公布</w:t>
      </w:r>
      <w:bookmarkEnd w:id="0"/>
      <w:r>
        <w:rPr>
          <w:rFonts w:ascii="Times New Roman" w:hAnsi="Times New Roman" w:eastAsia="楷体_GB2312" w:cs="Times New Roman"/>
          <w:sz w:val="32"/>
          <w:szCs w:val="32"/>
        </w:rPr>
        <w:t>　根据2013年12月7日《国务院关于修改部分行政法规的决定》第一次修订　根据2016年2月6日《国务院关于修改部分行政法规的决定》第二次修订)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为加强麻醉药品和精神药品的管理，保证麻醉药品和精神药品的合法、安全、合理使用，防止流入非法渠道，根据药品管理法和其他有关法律的规定，制定本条例。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麻醉药品药用原植物的种植，麻醉药品和精神药品的实验研究、生产、经营、使用、储存、运输等活动以及监督管理，适用本条例。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麻醉药品和精神药品的进出口依照有关法律的规定办理。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本条例所称麻醉药品和精神药品，是指列入麻醉药品目录、精神药品目录(以下称目录)的药品和其他物质。精神药品分为第一类精神药品和第二类精神药品。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目录由国务院药品监督管理部门会同国务院公安部门、国务院卫生主管部门制定、调整并公布。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对麻醉药品药用原植物以及麻醉药品和精神药品实行管制。除本条例另有规定的外，任何单位、个人不得进行麻醉药品药用原植物的种植以及麻醉药品和精神药品的实验研究、生产、经营、使用、储存、运输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麻醉药品和精神药品生产、经营企业和使用单位可以依法参加行业协会。行业协会应当加强行业自律管理。</w:t>
      </w:r>
    </w:p>
    <w:p>
      <w:pPr>
        <w:pStyle w:val="3"/>
        <w:bidi w:val="0"/>
      </w:pPr>
      <w:r>
        <w:t>第二章　种植、实验研究和生产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国家根据麻醉药品和精神药品的医疗、国家储备和企业生产所需原料的需要确定需求总量，对麻醉药品药用原植物的种植、麻醉药品和精神药品的生产实行总量控制。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国务院药品监督管理部门根据麻醉药品和精神药品的需求总量制定年度生产计划。</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国务院药品监督管理部门和国务院农业主管部门根据麻醉药品年度生产计划，制定麻醉药品药用原植物年度种植计划。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麻醉药品药用原植物种植企业应当根据年度种植计划，种植麻醉药品药用原植物。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麻醉药品药用原植物种植企业应当向国务院药品监督管理部门和国务院农业主管部门定期报告种植情况。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麻醉药品药用原植物种植企业由国务院药品监督管理部门和国务院农业主管部门共同确定，其他单位和个人不得种植麻醉药品药用原植物。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开展麻醉药品和精神药品实验研究活动应当具备下列条件，并经国务院药品监督管理部门批准：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(一)以医疗、科学研究或者教学为目的；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(二)有保证实验所需麻醉药品和精神药品安全的措施和管理制度；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(三)单位及其工作人员2年内没有违反有关禁毒的法律、行政法规规定的行为。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麻醉药品和精神药品的实验研究单位申请相关药品批准证明文件，应当依照药品管理法的规定办理；需要转让研究成果的，应当经国务院药品监督管理部门批准。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麻醉药品和第一类精神药品的临床试验，不得以健康人为受试对象。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国家对麻醉药品和精神药品实行定点生产制度。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国务院药品监督管理部门应当根据麻醉药品和精神药品的需求总量，确定麻醉药品和精神药品定点生产企业的数量和布局，并根据年度需求总量对数量和布局进行调整、公布。</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麻醉药品和精神药品的定点生产企业应当具备下列条件：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(一)有药品生产许可证；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(二)有麻醉药品和精神药品实验研究批准文件；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(三)有符合规定的麻醉药品和精神药品生产设施、储存条件和相应的安全管理设施；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(四)有通过网络实施企业安全生产管理和向药品监督管理部门报告生产信息的能力；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(五)有保证麻醉药品和精神药品安全生产的管理制度；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(六)有与麻醉药品和精神药品安全生产要求相适应的管理水平和经营规模；</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(七)麻醉药品和精神药品生产管理、质量管理部门的人员应当熟悉麻醉药品和精神药品管理以及有关禁毒的法律、行政法规；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(八)没有生产、销售假药、劣药或者违反有关禁毒的法律、行政法规规定的行为；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(九)符合国务院药品监督管理部门公布的麻醉药品和精神药品定点生产企业数量和布局的要求。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从事麻醉药品、精神药品生产的企业，应当经所在地省、自治区、直辖市人民政府药品监督管理部门批准。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定点生产企业生产麻醉药品和精神药品，应当依照药品管理法的规定取得药品批准文号。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应当组织医学、药学、社会学、伦理学和禁毒等方面的专家成立专家组，由专家组对申请首次上市的麻醉药品和精神药品的社会危害性和被滥用的可能性进行评价，并提出是否批准的建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未取得药品批准文号的，不得生产麻醉药品和精神药品。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发生重大突发事件，定点生产企业无法正常生产或者不能保证供应麻醉药品和精神药品时，国务院药品监督管理部门可以决定其他药品生产企业生产麻醉药品和精神药品。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重大突发事件结束后，国务院药品监督管理部门应当及时决定前款规定的企业停止麻醉药品和精神药品的生产。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定点生产企业应当严格按照麻醉药品和精神药品年度生产计划安排生产，并依照规定向所在地省、自治区、直辖市人民政府药品监督管理部门报告生产情况。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定点生产企业应当依照本条例的规定，将麻醉药品和精神药品销售给具有麻醉药品和精神药品经营资格的企业或者依照本条例规定批准的其他单位。</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麻醉药品和精神药品的标签应当印有国务院药品监督管理部门规定的标志。</w:t>
      </w:r>
    </w:p>
    <w:p>
      <w:pPr>
        <w:pStyle w:val="3"/>
        <w:bidi w:val="0"/>
      </w:pPr>
      <w:r>
        <w:t>第三章　经营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国家对麻醉药品和精神药品实行定点经营制度。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国务院药品监督管理部门应当根据麻醉药品和第一类精神药品的需求总量，确定麻醉药品和第一类精神药品的定点批发企业布局，并应当根据年度需求总量对布局进行调整、公布。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药品经营企业不得经营麻醉药品原料药和第一类精神药品原料药。但是，供医疗、科学研究、教学使用的小包装的上述药品可以由国务院药品监督管理部门规定的药品批发企业经营。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麻醉药品和精神药品定点批发企业除应当具备药品管理法第十五条规定的药品经营企业的开办条件外，还应当具备下列条件：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(一)有符合本条例规定的麻醉药品和精神药品储存条件；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(二)有通过网络实施企业安全管理和向药品监督管理部门报告经营信息的能力；</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(三)单位及其工作人员2年内没有违反有关禁毒的法律、行政法规规定的行为；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(四)符合国务院药品监督管理部门公布的定点批发企业布局。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麻醉药品和第一类精神药品的定点批发企业，还应当具有保证供应责任区域内医疗机构所需麻醉药品和第一类精神药品的能力，并具有保证麻醉药品和第一类精神药品安全经营的管理制度。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专门从事第二类精神药品批发业务的企业，应当经所在地省、自治区、直辖市人民政府药品监督管理部门批准。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全国性批发企业和区域性批发企业可以从事第二类精神药品批发业务。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全国性批发企业可以向区域性批发企业，或者经批准可以向取得麻醉药品和第一类精神药品使用资格的医疗机构以及依照本条例规定批准的其他单位销售麻醉药品和第一类精神药品。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全国性批发企业向取得麻醉药品和第一类精神药品使用资格的医疗机构销售麻醉药品和第一类精神药品，应当经医疗机构所在地省、自治区、直辖市人民政府药品监督管理部门批准。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国务院药品监督管理部门在批准全国性批发企业时，应当明确其所承担供药责任的区域。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企业所在地省、自治区、直辖市人民政府药品监督管理部门批准。审批情况由负责审批的药品监督管理部门在批准后5日内通报医疗机构所在地省、自治区、直辖市人民政府药品监督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省、自治区、直辖市人民政府药品监督管理部门在批准区域性批发企业时，应当明确其所承担供药责任的区域。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区域性批发企业之间因医疗急需、运输困难等特殊情况需要调剂麻醉药品和第一类精神药品的，应当在调剂后2日内将调剂情况分别报所在地省、自治区、直辖市人民政府药品监督管理部门备案。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全国性批发企业应当从定点生产企业购进麻醉药品和第一类精神药品。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区域性批发企业可以从全国性批发企业购进麻醉药品和第一类精神药品；经所在地省、自治区、直辖市人民政府药品监督管理部门批准，也可以从定点生产企业购进麻醉药品和第一类精神药品。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全国性批发企业和区域性批发企业向医疗机构销售麻醉药品和第一类精神药品，应当将药品送至医疗机构。医疗机构不得自行提货。</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第二类精神药品定点批发企业可以向医疗机构、定点批发企业和符合本条例第三十一条规定的药品零售企业以及依照本条例规定批准的其他单位销售第二类精神药品。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麻醉药品和第一类精神药品不得零售。</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禁止使用现金进行麻醉药品和精神药品交易，但是个人合法购买麻醉药品和精神药品的除外。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经所在地设区的市级药品监督管理部门批准，实行统一进货、统一配送、统一管理的药品零售连锁企业可以从事第二类精神药品零售业务。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第二类精神药品零售企业应当凭执业医师出具的处方，按规定剂量销售第二类精神药品，并将处方保存2年备查；禁止超剂量或者无处方销售第二类精神药品；不得向未成年人销售第二类精神药品。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麻醉药品和精神药品实行政府定价，在制定出厂和批发价格的基础上，逐步实行全国统一零售价格。具体办法由国务院价格主管部门制定。</w:t>
      </w:r>
    </w:p>
    <w:p>
      <w:pPr>
        <w:pStyle w:val="3"/>
        <w:bidi w:val="0"/>
      </w:pPr>
      <w:r>
        <w:t>第四章　使用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药品生产企业需要以第二类精神药品为原料生产普通药品的，应当将年度需求计划报所在地省、自治区、直辖市人民政府药品监督管理部门，并向定点批发企业或者定点生产企业购买。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食品、食品添加剂、化妆品、油漆等非药品生产企业需要使用咖啡因作为原料的，应当经所在地省、自治区、直辖市人民政府药品监督管理部门批准，向定点批发企业或者定点生产企业购买。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科学研究、教学单位需要使用麻醉药品和精神药品开展实验、教学活动的，应当经所在地省、自治区、直辖市人民政府药品监督管理部门批准，向定点批发企业或者定点生产企业购买。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需要使用麻醉药品和精神药品的标准品、对照品的，应当经所在地省、自治区、直辖市人民政府药品监督管理部门批准，向国务院药品监督管理部门批准的单位购买。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医疗机构取得印鉴卡应当具备下列条件：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(一)有专职的麻醉药品和第一类精神药品管理人员；</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(二)有获得麻醉药品和第一类精神药品处方资格的执业医师；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(三)有保证麻醉药品和第一类精神药品安全储存的设施和管理制度。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医疗机构应当将具有麻醉药品和第一类精神药品处方资格的执业医师名单及其变更情况，定期报送所在地设区的市级人民政府卫生主管部门，并抄送同级药品监督管理部门。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医务人员应当根据国务院卫生主管部门制定的临床应用指导原则，使用麻醉药品和精神药品。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执业医师应当使用专用处方开具麻醉药品和精神药品，单张处方的最大用量应当符合国务院卫生主管部门的规定。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对麻醉药品和第一类精神药品处方，处方的调配人、核对人应当仔细核对，签署姓名，并予以登记；对不符合本条例规定的，处方的调配人、核对人应当拒绝发药。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麻醉药品和精神药品专用处方的格式由国务院卫生主管部门规定。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医疗机构应当对麻醉药品和精神药品处方进行专册登记，加强管理。麻醉药品处方至少保存3年，精神药品处方至少保存2年。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因治疗疾病需要，个人凭医疗机构出具的医疗诊断书、本人身份证明，可以携带单张处方最大用量以内的麻醉药品和第一类精神药品；携带麻醉药品和第一类精神药品出入境的，由海关根据自用、合理的原则放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医务人员为了医疗需要携带少量麻醉药品和精神药品出入境的，应当持有省级以上人民政府药品监督管理部门发放的携带麻醉药品和精神药品证明。海关凭携带麻醉药品和精神药品证明放行。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医疗机构、戒毒机构以开展戒毒治疗为目的，可以使用美沙酮或者国家确定的其他用于戒毒治疗的麻醉药品和精神药品。具体管理办法由国务院药品监督管理部门、国务院公安部门和国务院卫生主管部门制定。</w:t>
      </w:r>
    </w:p>
    <w:p>
      <w:pPr>
        <w:pStyle w:val="3"/>
        <w:bidi w:val="0"/>
      </w:pPr>
      <w:r>
        <w:t>第五章　储存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麻醉药品药用原植物种植企业、定点生产企业、全国性批发企业和区域性批发企业以及国家设立的麻醉药品储存单位，应当设置储存麻醉药品和第一类精神药品的专库。该专库应当符合下列要求：</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(一)安装专用防盗门，实行双人双锁管理；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(二)具有相应的防火设施；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(三)具有监控设施和报警装置，报警装置应当与公安机关报警系统联网。</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全国性批发企业经国务院药品监督管理部门批准设立的药品储存点应当符合前款的规定。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麻醉药品定点生产企业应当将麻醉药品原料药和制剂分别存放。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麻醉药品和第一类精神药品的使用单位应当设立专库或者专柜储存麻醉药品和第一类精神药品。专库应当设有防盗设施并安装报警装置；专柜应当使用保险柜。专库和专柜应当实行双人双锁管理。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第二类精神药品经营企业应当在药品库房中设立独立的专库或者专柜储存第二类精神药品，并建立专用账册，实行专人管理。专用账册的保存期限应当自药品有效期期满之日起不少于5年。</w:t>
      </w:r>
    </w:p>
    <w:p>
      <w:pPr>
        <w:pStyle w:val="3"/>
        <w:bidi w:val="0"/>
      </w:pPr>
      <w:r>
        <w:t>第六章　运输</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托运、承运和自行运输麻醉药品和精神药品的，应当采取安全保障措施，防止麻醉药品和精神药品在运输过程中被盗、被抢、丢失。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通过铁路运输麻醉药品和第一类精神药品的，应当使用集装箱或者铁路行李车运输，具体办法由国务院药品监督管理部门会同国务院铁路主管部门制定。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没有铁路需要通过公路或者水路运输麻醉药品和第一类精神药品的，应当由专人负责押运。</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托运或者自行运输麻醉药品和第一类精神药品的单位，应当向所在地设区的市级药品监督管理部门申请领取运输证明。运输证明有效期为1年。</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运输证明应当由专人保管，不得涂改、转让、转借。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托运人办理麻醉药品和第一类精神药品运输手续，应当将运输证明副本交付承运人。承运人应当查验、收存运输证明副本，并检查货物包装。没有运输证明或者货物包装不符合规定的，承运人不得承运。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承运人在运输过程中应当携带运输证明副本，以备查验。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邮寄麻醉药品和精神药品，寄件人应当提交所在地设区的市级药品监督管理部门出具的准予邮寄证明。邮政营业机构应当查验、收存准予邮寄证明；没有准予邮寄证明的，邮政营业机构不得收寄。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省、自治区、直辖市邮政主管部门指定符合安全保障条件的邮政营业机构负责收寄麻醉药品和精神药品。邮政营业机构收寄麻醉药品和精神药品，应当依法对收寄的麻醉药品和精神药品予以查验。</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邮寄麻醉药品和精神药品的具体管理办法，由国务院药品监督管理部门会同国务院邮政主管部门制定。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pPr>
        <w:pStyle w:val="3"/>
        <w:bidi w:val="0"/>
      </w:pPr>
      <w:r>
        <w:t>第七章　审批程序和监督管理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申请人提出本条例规定的审批事项申请，应当提交能够证明其符合本条例规定条件的相关资料。审批部门应当自收到申请之日起40日内作出是否批准的决定；作出批准决定的，发给许可证明文件或者在相关许可证明文件上加注许可事项；作出不予批准决定的，应当书面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确定定点生产企业和定点批发企业，审批部门应当在经审查符合条件的企业中，根据布局的要求，通过公平竞争的方式初步确定定点生产企业和定点批发企业，并予公布。其他符合条件的企业可以自公布之日起10日内向审批部门提出异议。审批部门应当自收到异议之日起20日内对异议进行审查，并作出是否调整的决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药品监督管理部门应当根据规定的职责权限，对麻醉药品药用原植物的种植以及麻醉药品和精神药品的实验研究、生产、经营、使用、储存、运输活动进行监督检查。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第五十九条　</w:t>
      </w:r>
      <w:r>
        <w:rPr>
          <w:rFonts w:ascii="Times New Roman" w:hAnsi="Times New Roman" w:eastAsia="仿宋_GB2312" w:cs="Times New Roman"/>
          <w:sz w:val="32"/>
          <w:szCs w:val="32"/>
        </w:rPr>
        <w:t>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设区的市级药品监督管理部门应当每3个月向上一级药品监督管理部门报告本地区麻醉药品和精神药品的相关情况。</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第六十条　</w:t>
      </w:r>
      <w:r>
        <w:rPr>
          <w:rFonts w:ascii="Times New Roman" w:hAnsi="Times New Roman" w:eastAsia="仿宋_GB2312" w:cs="Times New Roman"/>
          <w:sz w:val="32"/>
          <w:szCs w:val="32"/>
        </w:rPr>
        <w:t>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第六十一条　</w:t>
      </w:r>
      <w:r>
        <w:rPr>
          <w:rFonts w:ascii="Times New Roman" w:hAnsi="Times New Roman" w:eastAsia="仿宋_GB2312" w:cs="Times New Roman"/>
          <w:sz w:val="32"/>
          <w:szCs w:val="32"/>
        </w:rPr>
        <w:t>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对依法收缴的麻醉药品和精神药品，除经国务院药品监督管理部门或者国务院公安部门批准用于科学研究外，应当依照国家有关规定予以销毁。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第六十二条　</w:t>
      </w:r>
      <w:r>
        <w:rPr>
          <w:rFonts w:ascii="Times New Roman" w:hAnsi="Times New Roman" w:eastAsia="仿宋_GB2312" w:cs="Times New Roman"/>
          <w:sz w:val="32"/>
          <w:szCs w:val="32"/>
        </w:rPr>
        <w:t>县级以上人民政府卫生主管部门应当对执业医师开具麻醉药品和精神药品处方的情况进行监督检查。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第六十三条　</w:t>
      </w:r>
      <w:r>
        <w:rPr>
          <w:rFonts w:ascii="Times New Roman" w:hAnsi="Times New Roman" w:eastAsia="仿宋_GB2312" w:cs="Times New Roman"/>
          <w:sz w:val="32"/>
          <w:szCs w:val="32"/>
        </w:rPr>
        <w:t>药品监督管理部门、卫生主管部门和公安机关应当互相通报麻醉药品和精神药品生产、经营企业和使用单位的名单以及其他管理信息。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各级药品监督管理部门应当将在麻醉药品药用原植物的种植以及麻醉药品和精神药品的实验研究、生产、经营、使用、储存、运输等各环节的管理中的审批、撤销等事项通报同级公安机关。</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麻醉药品和精神药品的经营企业、使用单位报送各级药品监督管理部门的备案事项，应当同时报送同级公安机关。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第六十四条　</w:t>
      </w:r>
      <w:r>
        <w:rPr>
          <w:rFonts w:ascii="Times New Roman" w:hAnsi="Times New Roman" w:eastAsia="仿宋_GB2312" w:cs="Times New Roman"/>
          <w:sz w:val="32"/>
          <w:szCs w:val="32"/>
        </w:rPr>
        <w:t>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公安机关接到报告、举报，或者有证据证明麻醉药品和精神药品可能流入非法渠道时，应当及时开展调查，并可以对相关单位采取必要的控制措施。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药品监督管理部门、卫生主管部门以及其他有关部门应当配合公安机关开展工作。</w:t>
      </w:r>
    </w:p>
    <w:p>
      <w:pPr>
        <w:pStyle w:val="3"/>
        <w:bidi w:val="0"/>
      </w:pPr>
      <w:r>
        <w:t>第八章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第六十五条　</w:t>
      </w:r>
      <w:r>
        <w:rPr>
          <w:rFonts w:ascii="Times New Roman" w:hAnsi="Times New Roman" w:eastAsia="仿宋_GB2312" w:cs="Times New Roman"/>
          <w:sz w:val="32"/>
          <w:szCs w:val="32"/>
        </w:rPr>
        <w:t>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(一)对不符合条件的申请人准予行政许可或者超越法定职权作出准予行政许可决定的；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(二)未到场监督销毁过期、损坏的麻醉药品和精神药品的；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(三)未依法履行监督检查职责，应当发现而未发现违法行为、发现违法行为不及时查处，或者未依照本条例规定的程序实施监督检查的；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(四)违反本条例规定的其他失职、渎职行为。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第六十六条　</w:t>
      </w:r>
      <w:r>
        <w:rPr>
          <w:rFonts w:ascii="Times New Roman" w:hAnsi="Times New Roman" w:eastAsia="仿宋_GB2312" w:cs="Times New Roman"/>
          <w:sz w:val="32"/>
          <w:szCs w:val="32"/>
        </w:rPr>
        <w:t>麻醉药品药用原植物种植企业违反本条例的规定，有下列情形之一的，由药品监督管理部门责令限期改正，给予警告；逾期不改正的，处5万元以上10万元以下的罚款；情节严重的，取消其种植资格：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(一)未依照麻醉药品药用原植物年度种植计划进行种植的；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(二)未依照规定报告种植情况的；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(三)未依照规定储存麻醉药品的。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第六十七条　</w:t>
      </w:r>
      <w:r>
        <w:rPr>
          <w:rFonts w:ascii="Times New Roman" w:hAnsi="Times New Roman" w:eastAsia="仿宋_GB2312" w:cs="Times New Roman"/>
          <w:sz w:val="32"/>
          <w:szCs w:val="32"/>
        </w:rPr>
        <w:t>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(一)未按照麻醉药品和精神药品年度生产计划安排生产的；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(二)未依照规定向药品监督管理部门报告生产情况的；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(三)未依照规定储存麻醉药品和精神药品，或者未依照规定建立、保存专用账册的；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(四)未依照规定销售麻醉药品和精神药品的；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(五)未依照规定销毁麻醉药品和精神药品的。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第六十八条　</w:t>
      </w:r>
      <w:r>
        <w:rPr>
          <w:rFonts w:ascii="Times New Roman" w:hAnsi="Times New Roman" w:eastAsia="仿宋_GB2312" w:cs="Times New Roman"/>
          <w:sz w:val="32"/>
          <w:szCs w:val="32"/>
        </w:rPr>
        <w:t>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第六十九条　</w:t>
      </w:r>
      <w:r>
        <w:rPr>
          <w:rFonts w:ascii="Times New Roman" w:hAnsi="Times New Roman" w:eastAsia="仿宋_GB2312" w:cs="Times New Roman"/>
          <w:sz w:val="32"/>
          <w:szCs w:val="32"/>
        </w:rPr>
        <w:t>定点批发企业违反本条例的规定，有下列情形之一的，由药品监督管理部门责令限期改正，给予警告；逾期不改正的，责令停业，并处2万元以上5万元以下的罚款；情节严重的，取消其定点批发资格：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(一)未依照规定购进麻醉药品和第一类精神药品的；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(二)未保证供药责任区域内的麻醉药品和第一类精神药品的供应的；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(三)未对医疗机构履行送货义务的；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(四)未依照规定报告麻醉药品和精神药品的进货、销售、库存数量以及流向的；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(五)未依照规定储存麻醉药品和精神药品，或者未依照规定建立、保存专用账册的；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(六)未依照规定销毁麻醉药品和精神药品的；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(七)区域性批发企业之间违反本条例的规定调剂麻醉药品和第一类精神药品，或者因特殊情况调剂麻醉药品和第一类精神药品后未依照规定备案的。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第七十条　</w:t>
      </w:r>
      <w:r>
        <w:rPr>
          <w:rFonts w:ascii="Times New Roman" w:hAnsi="Times New Roman" w:eastAsia="仿宋_GB2312" w:cs="Times New Roman"/>
          <w:sz w:val="32"/>
          <w:szCs w:val="32"/>
        </w:rPr>
        <w:t>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第七十一条　</w:t>
      </w:r>
      <w:r>
        <w:rPr>
          <w:rFonts w:ascii="Times New Roman" w:hAnsi="Times New Roman" w:eastAsia="仿宋_GB2312" w:cs="Times New Roman"/>
          <w:sz w:val="32"/>
          <w:szCs w:val="32"/>
        </w:rPr>
        <w:t>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第七十二条　</w:t>
      </w:r>
      <w:r>
        <w:rPr>
          <w:rFonts w:ascii="Times New Roman" w:hAnsi="Times New Roman" w:eastAsia="仿宋_GB2312" w:cs="Times New Roman"/>
          <w:sz w:val="32"/>
          <w:szCs w:val="32"/>
        </w:rPr>
        <w:t>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(一)未依照规定购买、储存麻醉药品和第一类精神药品的；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(二)未依照规定保存麻醉药品和精神药品专用处方，或者未依照规定进行处方专册登记的；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(三)未依照规定报告麻醉药品和精神药品的进货、库存、使用数量的；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(四)紧急借用麻醉药品和第一类精神药品后未备案的；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(五)未依照规定销毁麻醉药品和精神药品的。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第七十三条　</w:t>
      </w:r>
      <w:r>
        <w:rPr>
          <w:rFonts w:ascii="Times New Roman" w:hAnsi="Times New Roman" w:eastAsia="仿宋_GB2312" w:cs="Times New Roman"/>
          <w:sz w:val="32"/>
          <w:szCs w:val="32"/>
        </w:rPr>
        <w:t>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处方的调配人、核对人违反本条例的规定未对麻醉药品和第一类精神药品处方进行核对，造成严重后果的，由原发证部门吊销其执业证书。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第七十四条　</w:t>
      </w:r>
      <w:r>
        <w:rPr>
          <w:rFonts w:ascii="Times New Roman" w:hAnsi="Times New Roman" w:eastAsia="仿宋_GB2312" w:cs="Times New Roman"/>
          <w:sz w:val="32"/>
          <w:szCs w:val="32"/>
        </w:rPr>
        <w:t>违反本条例的规定运输麻醉药品和精神药品的，由药品监督管理部门和运输管理部门依照各自职责，责令改正，给予警告，处2万元以上5万元以下的罚款。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收寄麻醉药品、精神药品的邮政营业机构未依照本条例的规定办理邮寄手续的，由邮政主管部门责令改正，给予警告；造成麻醉药品、精神药品邮件丢失的，依照邮政法律、行政法规的规定处理。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第七十五条　</w:t>
      </w:r>
      <w:r>
        <w:rPr>
          <w:rFonts w:ascii="Times New Roman" w:hAnsi="Times New Roman" w:eastAsia="仿宋_GB2312" w:cs="Times New Roman"/>
          <w:sz w:val="32"/>
          <w:szCs w:val="32"/>
        </w:rPr>
        <w:t>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第七十六条　</w:t>
      </w:r>
      <w:r>
        <w:rPr>
          <w:rFonts w:ascii="Times New Roman" w:hAnsi="Times New Roman" w:eastAsia="仿宋_GB2312" w:cs="Times New Roman"/>
          <w:sz w:val="32"/>
          <w:szCs w:val="32"/>
        </w:rPr>
        <w:t>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第七十七条　</w:t>
      </w:r>
      <w:r>
        <w:rPr>
          <w:rFonts w:ascii="Times New Roman" w:hAnsi="Times New Roman" w:eastAsia="仿宋_GB2312" w:cs="Times New Roman"/>
          <w:sz w:val="32"/>
          <w:szCs w:val="32"/>
        </w:rPr>
        <w:t>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第七十八条　</w:t>
      </w:r>
      <w:r>
        <w:rPr>
          <w:rFonts w:ascii="Times New Roman" w:hAnsi="Times New Roman" w:eastAsia="仿宋_GB2312" w:cs="Times New Roman"/>
          <w:sz w:val="32"/>
          <w:szCs w:val="32"/>
        </w:rPr>
        <w:t>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第七十九条　</w:t>
      </w:r>
      <w:r>
        <w:rPr>
          <w:rFonts w:ascii="Times New Roman" w:hAnsi="Times New Roman" w:eastAsia="仿宋_GB2312" w:cs="Times New Roman"/>
          <w:sz w:val="32"/>
          <w:szCs w:val="32"/>
        </w:rPr>
        <w:t>定点生产企业、定点批发企业和其他单位使用现金进行麻醉药品和精神药品交易的，由药品监督管理部门责令改正，给予警告，没收违法交易的药品，并处5万元以上10万元以下的罚款。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第八十条　</w:t>
      </w:r>
      <w:r>
        <w:rPr>
          <w:rFonts w:ascii="Times New Roman" w:hAnsi="Times New Roman" w:eastAsia="仿宋_GB2312" w:cs="Times New Roman"/>
          <w:sz w:val="32"/>
          <w:szCs w:val="32"/>
        </w:rPr>
        <w:t>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第八十一条　</w:t>
      </w:r>
      <w:r>
        <w:rPr>
          <w:rFonts w:ascii="Times New Roman" w:hAnsi="Times New Roman" w:eastAsia="仿宋_GB2312" w:cs="Times New Roman"/>
          <w:sz w:val="32"/>
          <w:szCs w:val="32"/>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第八十二条　</w:t>
      </w:r>
      <w:r>
        <w:rPr>
          <w:rFonts w:ascii="Times New Roman" w:hAnsi="Times New Roman" w:eastAsia="仿宋_GB2312" w:cs="Times New Roman"/>
          <w:sz w:val="32"/>
          <w:szCs w:val="32"/>
        </w:rPr>
        <w:t>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药品监督管理部门、卫生主管部门在监督管理工作中发现前款规定情形的，应当立即通报所在地同级公安机关，并依照国家有关规定，将案件以及相关材料移送公安机关。</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第八十三条　</w:t>
      </w:r>
      <w:r>
        <w:rPr>
          <w:rFonts w:ascii="Times New Roman" w:hAnsi="Times New Roman" w:eastAsia="仿宋_GB2312" w:cs="Times New Roman"/>
          <w:sz w:val="32"/>
          <w:szCs w:val="32"/>
        </w:rPr>
        <w:t>本章规定由药品监督管理部门作出的行政处罚，由县级以上药品监督管理部门按照国务院药品监督管理部门规定的职责分工决定。</w:t>
      </w:r>
    </w:p>
    <w:p>
      <w:pPr>
        <w:pStyle w:val="3"/>
        <w:bidi w:val="0"/>
      </w:pPr>
      <w:r>
        <w:t>第九章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第八十四条　</w:t>
      </w:r>
      <w:r>
        <w:rPr>
          <w:rFonts w:ascii="Times New Roman" w:hAnsi="Times New Roman" w:eastAsia="仿宋_GB2312" w:cs="Times New Roman"/>
          <w:sz w:val="32"/>
          <w:szCs w:val="32"/>
        </w:rPr>
        <w:t>本条例所称实验研究是指以医疗、科学研究或者教学为目的的临床前药物研究。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经批准可以开展与计划生育有关的临床医疗服务的计划生育技术服务机构需要使用麻醉药品和精神药品的，依照本条例有关医疗机构使用麻醉药品和精神药品的规定执行。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第八十五条　</w:t>
      </w:r>
      <w:r>
        <w:rPr>
          <w:rFonts w:ascii="Times New Roman" w:hAnsi="Times New Roman" w:eastAsia="仿宋_GB2312" w:cs="Times New Roman"/>
          <w:sz w:val="32"/>
          <w:szCs w:val="32"/>
        </w:rPr>
        <w:t>麻醉药品目录中的罂粟壳只能用于中药饮片和中成药的生产以及医疗配方使用。具体管理办法由国务院药品监督管理部门另行制定。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第八十六条　</w:t>
      </w:r>
      <w:r>
        <w:rPr>
          <w:rFonts w:ascii="Times New Roman" w:hAnsi="Times New Roman" w:eastAsia="仿宋_GB2312" w:cs="Times New Roman"/>
          <w:sz w:val="32"/>
          <w:szCs w:val="32"/>
        </w:rPr>
        <w:t>生产含麻醉药品的复方制剂，需要购进、储存、使用麻醉药品原料药的，应当遵守本条例有关麻醉药品管理的规定。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第八十七条　</w:t>
      </w:r>
      <w:r>
        <w:rPr>
          <w:rFonts w:ascii="Times New Roman" w:hAnsi="Times New Roman" w:eastAsia="仿宋_GB2312" w:cs="Times New Roman"/>
          <w:sz w:val="32"/>
          <w:szCs w:val="32"/>
        </w:rPr>
        <w:t>军队医疗机构麻醉药品和精神药品的供应、使用，由国务院药品监督管理部门会同中国人民解放军总后勤部依据本条例制定具体管理办法。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第八十八条　</w:t>
      </w:r>
      <w:r>
        <w:rPr>
          <w:rFonts w:ascii="Times New Roman" w:hAnsi="Times New Roman" w:eastAsia="仿宋_GB2312" w:cs="Times New Roman"/>
          <w:sz w:val="32"/>
          <w:szCs w:val="32"/>
        </w:rPr>
        <w:t>对动物用麻醉药品和精神药品的管理，由国务院兽医主管部门会同国务院药品监督管理部门依据本条例制定具体管理办法。</w:t>
      </w:r>
    </w:p>
    <w:p>
      <w:pPr>
        <w:pStyle w:val="10"/>
        <w:ind w:firstLine="640" w:firstLineChars="200"/>
        <w:rPr>
          <w:rFonts w:hint="eastAsia"/>
          <w:lang w:eastAsia="zh-CN"/>
        </w:rPr>
      </w:pPr>
      <w:r>
        <w:rPr>
          <w:rFonts w:ascii="Times New Roman" w:hAnsi="Times New Roman" w:eastAsia="黑体" w:cs="Times New Roman"/>
          <w:sz w:val="32"/>
          <w:szCs w:val="32"/>
        </w:rPr>
        <w:t>第八十九条　</w:t>
      </w:r>
      <w:r>
        <w:rPr>
          <w:rFonts w:ascii="Times New Roman" w:hAnsi="Times New Roman" w:eastAsia="仿宋_GB2312" w:cs="Times New Roman"/>
          <w:sz w:val="32"/>
          <w:szCs w:val="32"/>
        </w:rPr>
        <w:t>本条例自2005年11月1日起施行。1987年11月28日国务院发布的《麻醉药品管理办法》和1988年12月27日国务院发布的《精神药品管理办法》同时废止。</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FE10B9"/>
    <w:rsid w:val="0FB80839"/>
    <w:rsid w:val="107A4DEE"/>
    <w:rsid w:val="10A47D69"/>
    <w:rsid w:val="11366EEC"/>
    <w:rsid w:val="11A80578"/>
    <w:rsid w:val="12146020"/>
    <w:rsid w:val="12C10B30"/>
    <w:rsid w:val="134A1994"/>
    <w:rsid w:val="136642BB"/>
    <w:rsid w:val="142327B5"/>
    <w:rsid w:val="14484CDF"/>
    <w:rsid w:val="155E2CB3"/>
    <w:rsid w:val="157124FD"/>
    <w:rsid w:val="15B17054"/>
    <w:rsid w:val="16173655"/>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FE16FBA"/>
    <w:rsid w:val="2037230C"/>
    <w:rsid w:val="2096095A"/>
    <w:rsid w:val="20D86240"/>
    <w:rsid w:val="21CE0F2E"/>
    <w:rsid w:val="221D0BEA"/>
    <w:rsid w:val="22DD4281"/>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F66CF8"/>
    <w:rsid w:val="40FE47B4"/>
    <w:rsid w:val="41B857FD"/>
    <w:rsid w:val="429465D8"/>
    <w:rsid w:val="43110E6A"/>
    <w:rsid w:val="431B4937"/>
    <w:rsid w:val="434336CE"/>
    <w:rsid w:val="4361706F"/>
    <w:rsid w:val="43CA1521"/>
    <w:rsid w:val="43D46F84"/>
    <w:rsid w:val="444B0E8A"/>
    <w:rsid w:val="454D6241"/>
    <w:rsid w:val="45866A2B"/>
    <w:rsid w:val="46D80A88"/>
    <w:rsid w:val="46EE0064"/>
    <w:rsid w:val="47793996"/>
    <w:rsid w:val="47A250A3"/>
    <w:rsid w:val="48AC4D69"/>
    <w:rsid w:val="494B3B16"/>
    <w:rsid w:val="49C224BB"/>
    <w:rsid w:val="4A4F5FBC"/>
    <w:rsid w:val="4A732A37"/>
    <w:rsid w:val="4B2E2D61"/>
    <w:rsid w:val="4C062CA1"/>
    <w:rsid w:val="4CF75612"/>
    <w:rsid w:val="4D7C1855"/>
    <w:rsid w:val="4DC87E21"/>
    <w:rsid w:val="4E4E7955"/>
    <w:rsid w:val="4E6A2FDF"/>
    <w:rsid w:val="4EDF3D2B"/>
    <w:rsid w:val="4EED79F5"/>
    <w:rsid w:val="5080370D"/>
    <w:rsid w:val="512A1D93"/>
    <w:rsid w:val="5146198F"/>
    <w:rsid w:val="51F44E31"/>
    <w:rsid w:val="523F45D1"/>
    <w:rsid w:val="524F6E89"/>
    <w:rsid w:val="52695AB4"/>
    <w:rsid w:val="529D4C7B"/>
    <w:rsid w:val="53487C81"/>
    <w:rsid w:val="53BF5C69"/>
    <w:rsid w:val="53DA0A43"/>
    <w:rsid w:val="54031803"/>
    <w:rsid w:val="54942BB0"/>
    <w:rsid w:val="554B0B10"/>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900D37"/>
    <w:rsid w:val="5F5011B7"/>
    <w:rsid w:val="5F88093C"/>
    <w:rsid w:val="5FDB251D"/>
    <w:rsid w:val="60492E1B"/>
    <w:rsid w:val="60FB7125"/>
    <w:rsid w:val="61152047"/>
    <w:rsid w:val="620467BA"/>
    <w:rsid w:val="622D2BEC"/>
    <w:rsid w:val="62F60DE0"/>
    <w:rsid w:val="63740607"/>
    <w:rsid w:val="63DD0DD3"/>
    <w:rsid w:val="63DE7402"/>
    <w:rsid w:val="641F5EE8"/>
    <w:rsid w:val="642517C4"/>
    <w:rsid w:val="649C0E8F"/>
    <w:rsid w:val="65152017"/>
    <w:rsid w:val="652E7954"/>
    <w:rsid w:val="65532802"/>
    <w:rsid w:val="65BF6566"/>
    <w:rsid w:val="665D25F4"/>
    <w:rsid w:val="66E50FB1"/>
    <w:rsid w:val="674048E2"/>
    <w:rsid w:val="67D71794"/>
    <w:rsid w:val="68426F20"/>
    <w:rsid w:val="68715924"/>
    <w:rsid w:val="6A403C00"/>
    <w:rsid w:val="6A49703B"/>
    <w:rsid w:val="6B120859"/>
    <w:rsid w:val="6B4C7D1B"/>
    <w:rsid w:val="6C267EB4"/>
    <w:rsid w:val="6CD653AF"/>
    <w:rsid w:val="6CE03366"/>
    <w:rsid w:val="6D1363D3"/>
    <w:rsid w:val="6D15429C"/>
    <w:rsid w:val="6D614426"/>
    <w:rsid w:val="6DA577A5"/>
    <w:rsid w:val="6DB8609B"/>
    <w:rsid w:val="6DB87D30"/>
    <w:rsid w:val="6E804287"/>
    <w:rsid w:val="6EB30283"/>
    <w:rsid w:val="6F605325"/>
    <w:rsid w:val="6FAA67D8"/>
    <w:rsid w:val="705926FD"/>
    <w:rsid w:val="70817970"/>
    <w:rsid w:val="712A2EDC"/>
    <w:rsid w:val="712B5699"/>
    <w:rsid w:val="72A30A90"/>
    <w:rsid w:val="72AE5309"/>
    <w:rsid w:val="72C042BE"/>
    <w:rsid w:val="73160902"/>
    <w:rsid w:val="735A6A5C"/>
    <w:rsid w:val="746D1278"/>
    <w:rsid w:val="762C29D0"/>
    <w:rsid w:val="768C0C3C"/>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2</TotalTime>
  <ScaleCrop>false</ScaleCrop>
  <LinksUpToDate>false</LinksUpToDate>
  <CharactersWithSpaces>1790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Administrator</cp:lastModifiedBy>
  <dcterms:modified xsi:type="dcterms:W3CDTF">2019-06-10T13:49:41Z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