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黑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件3</w:t>
      </w:r>
    </w:p>
    <w:p>
      <w:pPr>
        <w:spacing w:line="560" w:lineRule="exact"/>
        <w:jc w:val="left"/>
        <w:outlineLvl w:val="0"/>
        <w:rPr>
          <w:rFonts w:hint="eastAsia" w:ascii="黑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2021年深圳市游泳场所水质抽检二次不合格的单位一览表（共3家）</w:t>
      </w:r>
    </w:p>
    <w:tbl>
      <w:tblPr>
        <w:tblStyle w:val="2"/>
        <w:tblpPr w:leftFromText="180" w:rightFromText="180" w:vertAnchor="text" w:horzAnchor="page" w:tblpX="1333" w:tblpY="292"/>
        <w:tblOverlap w:val="never"/>
        <w:tblW w:w="14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47"/>
        <w:gridCol w:w="3377"/>
        <w:gridCol w:w="2342"/>
        <w:gridCol w:w="2430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检测不合格指标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上次检测不合格指标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深圳市宝缤物业服务有限公司（游泳池）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深圳市宝安区8区建安路与新圳路交汇处香缤广场四楼部分之八（办公场所）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粤卫公证字[2011]第0306L00005号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菌落总数、尿素、游离性余氯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菌落总数、游离性余氯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广东龙光集团物业管理有限公司深圳天悦龙庭物业管理处（游泳池）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深圳市宝安区新安街道84区天悦龙庭福怡阁二层（办公场所）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粤卫公证字[2014]第0306L00018号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游离性余氯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4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深圳市宝安区福海旺鑫维度健身游泳俱乐部（游泳池）</w:t>
            </w:r>
          </w:p>
        </w:tc>
        <w:tc>
          <w:tcPr>
            <w:tcW w:w="337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深圳市宝安区福海街道桥头社区桥头综合市场202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-SA"/>
              </w:rPr>
              <w:t>粤卫公证字[2018]第036BL00011号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尿素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before="157" w:beforeLines="50" w:after="157" w:afterLines="50"/>
              <w:ind w:firstLine="4" w:firstLineChars="2"/>
              <w:jc w:val="center"/>
              <w:outlineLvl w:val="9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</w:tr>
    </w:tbl>
    <w:p>
      <w:pPr>
        <w:spacing w:line="560" w:lineRule="exact"/>
        <w:jc w:val="left"/>
        <w:outlineLvl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2021-09-24T08:26:36Z</dcterms:created>
  <dc:creator>DELL</dc:creator>
  <cp:lastModifiedBy>谢静雯</cp:lastModifiedBy>
  <dcterms:modified xsi:type="dcterms:W3CDTF">2021-09-24T08:26:53Z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DDDBB9184E04495EAE3423030CF6A473</vt:lpwstr>
  </property>
</Properties>
</file>