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CD9D" w14:textId="77777777" w:rsidR="002D590B" w:rsidRDefault="00015AF4">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9</w:t>
      </w:r>
    </w:p>
    <w:p w14:paraId="4C1F5905" w14:textId="77777777" w:rsidR="00D669E1" w:rsidRDefault="00015AF4" w:rsidP="00D669E1">
      <w:pPr>
        <w:spacing w:beforeLines="20" w:before="62" w:afterLines="20" w:after="62"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2021</w:t>
      </w:r>
      <w:r>
        <w:rPr>
          <w:rFonts w:ascii="方正小标宋_GBK" w:eastAsia="方正小标宋_GBK" w:hAnsi="仿宋" w:hint="eastAsia"/>
          <w:sz w:val="44"/>
          <w:szCs w:val="44"/>
        </w:rPr>
        <w:t>年第二季度市民就医不满意原因</w:t>
      </w:r>
    </w:p>
    <w:p w14:paraId="5393944C" w14:textId="69A702A9" w:rsidR="002D590B" w:rsidRDefault="00015AF4" w:rsidP="00D669E1">
      <w:pPr>
        <w:spacing w:beforeLines="20" w:before="62" w:afterLines="20" w:after="62"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反馈</w:t>
      </w:r>
      <w:r>
        <w:rPr>
          <w:rFonts w:ascii="方正小标宋_GBK" w:eastAsia="方正小标宋_GBK" w:hAnsi="仿宋" w:hint="eastAsia"/>
          <w:sz w:val="44"/>
          <w:szCs w:val="44"/>
        </w:rPr>
        <w:t>情况</w:t>
      </w:r>
    </w:p>
    <w:tbl>
      <w:tblPr>
        <w:tblW w:w="9090" w:type="dxa"/>
        <w:tblInd w:w="23" w:type="dxa"/>
        <w:tblLayout w:type="fixed"/>
        <w:tblLook w:val="04A0" w:firstRow="1" w:lastRow="0" w:firstColumn="1" w:lastColumn="0" w:noHBand="0" w:noVBand="1"/>
      </w:tblPr>
      <w:tblGrid>
        <w:gridCol w:w="1065"/>
        <w:gridCol w:w="1080"/>
        <w:gridCol w:w="930"/>
        <w:gridCol w:w="1140"/>
        <w:gridCol w:w="795"/>
        <w:gridCol w:w="1185"/>
        <w:gridCol w:w="825"/>
        <w:gridCol w:w="915"/>
        <w:gridCol w:w="1155"/>
      </w:tblGrid>
      <w:tr w:rsidR="002D590B" w14:paraId="0673D6E4" w14:textId="77777777">
        <w:trPr>
          <w:trHeight w:val="585"/>
        </w:trPr>
        <w:tc>
          <w:tcPr>
            <w:tcW w:w="1065" w:type="dxa"/>
            <w:tcBorders>
              <w:top w:val="single" w:sz="4" w:space="0" w:color="auto"/>
              <w:left w:val="nil"/>
              <w:bottom w:val="single" w:sz="4" w:space="0" w:color="auto"/>
              <w:right w:val="nil"/>
            </w:tcBorders>
            <w:vAlign w:val="center"/>
          </w:tcPr>
          <w:p w14:paraId="5FACFC94"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举办</w:t>
            </w:r>
          </w:p>
          <w:p w14:paraId="0A6292DC"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主体</w:t>
            </w:r>
          </w:p>
        </w:tc>
        <w:tc>
          <w:tcPr>
            <w:tcW w:w="1080" w:type="dxa"/>
            <w:tcBorders>
              <w:top w:val="single" w:sz="4" w:space="0" w:color="auto"/>
              <w:left w:val="nil"/>
              <w:bottom w:val="single" w:sz="4" w:space="0" w:color="auto"/>
              <w:right w:val="nil"/>
            </w:tcBorders>
            <w:vAlign w:val="center"/>
          </w:tcPr>
          <w:p w14:paraId="02A8B447"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环境与</w:t>
            </w:r>
          </w:p>
          <w:p w14:paraId="1D18BDAB"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设施</w:t>
            </w:r>
          </w:p>
          <w:p w14:paraId="5931139A"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r>
              <w:rPr>
                <w:rFonts w:ascii="宋体" w:hAnsi="宋体" w:cs="宋体" w:hint="eastAsia"/>
                <w:b/>
                <w:kern w:val="0"/>
                <w:sz w:val="23"/>
                <w:szCs w:val="23"/>
              </w:rPr>
              <w:t>%</w:t>
            </w:r>
            <w:r>
              <w:rPr>
                <w:rFonts w:ascii="宋体" w:hAnsi="宋体" w:cs="宋体" w:hint="eastAsia"/>
                <w:b/>
                <w:kern w:val="0"/>
                <w:sz w:val="23"/>
                <w:szCs w:val="23"/>
              </w:rPr>
              <w:t>）</w:t>
            </w:r>
          </w:p>
        </w:tc>
        <w:tc>
          <w:tcPr>
            <w:tcW w:w="930" w:type="dxa"/>
            <w:tcBorders>
              <w:top w:val="single" w:sz="4" w:space="0" w:color="auto"/>
              <w:left w:val="nil"/>
              <w:bottom w:val="single" w:sz="4" w:space="0" w:color="auto"/>
              <w:right w:val="nil"/>
            </w:tcBorders>
            <w:vAlign w:val="center"/>
          </w:tcPr>
          <w:p w14:paraId="4AC9DA8E"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交通与</w:t>
            </w:r>
          </w:p>
          <w:p w14:paraId="3CD24ABC"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停车</w:t>
            </w:r>
          </w:p>
          <w:p w14:paraId="6A89DD45"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r>
              <w:rPr>
                <w:rFonts w:ascii="宋体" w:hAnsi="宋体" w:cs="宋体" w:hint="eastAsia"/>
                <w:b/>
                <w:kern w:val="0"/>
                <w:sz w:val="23"/>
                <w:szCs w:val="23"/>
              </w:rPr>
              <w:t>%</w:t>
            </w:r>
            <w:r>
              <w:rPr>
                <w:rFonts w:ascii="宋体" w:hAnsi="宋体" w:cs="宋体" w:hint="eastAsia"/>
                <w:b/>
                <w:kern w:val="0"/>
                <w:sz w:val="23"/>
                <w:szCs w:val="23"/>
              </w:rPr>
              <w:t>）</w:t>
            </w:r>
          </w:p>
        </w:tc>
        <w:tc>
          <w:tcPr>
            <w:tcW w:w="1140" w:type="dxa"/>
            <w:tcBorders>
              <w:top w:val="single" w:sz="4" w:space="0" w:color="auto"/>
              <w:left w:val="nil"/>
              <w:bottom w:val="single" w:sz="4" w:space="0" w:color="auto"/>
              <w:right w:val="nil"/>
            </w:tcBorders>
            <w:vAlign w:val="center"/>
          </w:tcPr>
          <w:p w14:paraId="45FA8B24"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医务人员</w:t>
            </w:r>
          </w:p>
          <w:p w14:paraId="37B8AD35"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服务态度</w:t>
            </w:r>
          </w:p>
          <w:p w14:paraId="42D9AEE2"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r>
              <w:rPr>
                <w:rFonts w:ascii="宋体" w:hAnsi="宋体" w:cs="宋体" w:hint="eastAsia"/>
                <w:b/>
                <w:kern w:val="0"/>
                <w:sz w:val="23"/>
                <w:szCs w:val="23"/>
              </w:rPr>
              <w:t>%</w:t>
            </w:r>
            <w:r>
              <w:rPr>
                <w:rFonts w:ascii="宋体" w:hAnsi="宋体" w:cs="宋体" w:hint="eastAsia"/>
                <w:b/>
                <w:kern w:val="0"/>
                <w:sz w:val="23"/>
                <w:szCs w:val="23"/>
              </w:rPr>
              <w:t>）</w:t>
            </w:r>
          </w:p>
        </w:tc>
        <w:tc>
          <w:tcPr>
            <w:tcW w:w="795" w:type="dxa"/>
            <w:tcBorders>
              <w:top w:val="single" w:sz="4" w:space="0" w:color="auto"/>
              <w:left w:val="nil"/>
              <w:bottom w:val="single" w:sz="4" w:space="0" w:color="auto"/>
              <w:right w:val="nil"/>
            </w:tcBorders>
            <w:vAlign w:val="center"/>
          </w:tcPr>
          <w:p w14:paraId="3416EBC5"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排队时间</w:t>
            </w:r>
          </w:p>
          <w:p w14:paraId="6E5FABF8"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r>
              <w:rPr>
                <w:rFonts w:ascii="宋体" w:hAnsi="宋体" w:cs="宋体" w:hint="eastAsia"/>
                <w:b/>
                <w:kern w:val="0"/>
                <w:sz w:val="23"/>
                <w:szCs w:val="23"/>
              </w:rPr>
              <w:t>%</w:t>
            </w:r>
            <w:r>
              <w:rPr>
                <w:rFonts w:ascii="宋体" w:hAnsi="宋体" w:cs="宋体" w:hint="eastAsia"/>
                <w:b/>
                <w:kern w:val="0"/>
                <w:sz w:val="23"/>
                <w:szCs w:val="23"/>
              </w:rPr>
              <w:t>）</w:t>
            </w:r>
          </w:p>
        </w:tc>
        <w:tc>
          <w:tcPr>
            <w:tcW w:w="1185" w:type="dxa"/>
            <w:tcBorders>
              <w:top w:val="single" w:sz="4" w:space="0" w:color="auto"/>
              <w:left w:val="nil"/>
              <w:bottom w:val="single" w:sz="4" w:space="0" w:color="auto"/>
              <w:right w:val="nil"/>
            </w:tcBorders>
            <w:vAlign w:val="center"/>
          </w:tcPr>
          <w:p w14:paraId="67554D44"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医生、护士技术水平（</w:t>
            </w:r>
            <w:r>
              <w:rPr>
                <w:rFonts w:ascii="宋体" w:hAnsi="宋体" w:cs="宋体" w:hint="eastAsia"/>
                <w:b/>
                <w:kern w:val="0"/>
                <w:sz w:val="23"/>
                <w:szCs w:val="23"/>
              </w:rPr>
              <w:t>%</w:t>
            </w:r>
            <w:r>
              <w:rPr>
                <w:rFonts w:ascii="宋体" w:hAnsi="宋体" w:cs="宋体" w:hint="eastAsia"/>
                <w:b/>
                <w:kern w:val="0"/>
                <w:sz w:val="23"/>
                <w:szCs w:val="23"/>
              </w:rPr>
              <w:t>）</w:t>
            </w:r>
          </w:p>
        </w:tc>
        <w:tc>
          <w:tcPr>
            <w:tcW w:w="825" w:type="dxa"/>
            <w:tcBorders>
              <w:top w:val="single" w:sz="4" w:space="0" w:color="auto"/>
              <w:left w:val="nil"/>
              <w:bottom w:val="single" w:sz="4" w:space="0" w:color="auto"/>
              <w:right w:val="nil"/>
            </w:tcBorders>
            <w:vAlign w:val="center"/>
          </w:tcPr>
          <w:p w14:paraId="4E82136D"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隐私保护</w:t>
            </w:r>
          </w:p>
          <w:p w14:paraId="6F3021C0"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r>
              <w:rPr>
                <w:rFonts w:ascii="宋体" w:hAnsi="宋体" w:cs="宋体" w:hint="eastAsia"/>
                <w:b/>
                <w:kern w:val="0"/>
                <w:sz w:val="23"/>
                <w:szCs w:val="23"/>
              </w:rPr>
              <w:t>%</w:t>
            </w:r>
            <w:r>
              <w:rPr>
                <w:rFonts w:ascii="宋体" w:hAnsi="宋体" w:cs="宋体" w:hint="eastAsia"/>
                <w:b/>
                <w:kern w:val="0"/>
                <w:sz w:val="23"/>
                <w:szCs w:val="23"/>
              </w:rPr>
              <w:t>）</w:t>
            </w:r>
          </w:p>
        </w:tc>
        <w:tc>
          <w:tcPr>
            <w:tcW w:w="915" w:type="dxa"/>
            <w:tcBorders>
              <w:top w:val="single" w:sz="4" w:space="0" w:color="auto"/>
              <w:left w:val="nil"/>
              <w:bottom w:val="single" w:sz="4" w:space="0" w:color="auto"/>
              <w:right w:val="nil"/>
            </w:tcBorders>
            <w:vAlign w:val="center"/>
          </w:tcPr>
          <w:p w14:paraId="248BA4D5"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投诉</w:t>
            </w:r>
          </w:p>
          <w:p w14:paraId="1C3F5061"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处理</w:t>
            </w:r>
          </w:p>
          <w:p w14:paraId="43FB5A47"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r>
              <w:rPr>
                <w:rFonts w:ascii="宋体" w:hAnsi="宋体" w:cs="宋体" w:hint="eastAsia"/>
                <w:b/>
                <w:kern w:val="0"/>
                <w:sz w:val="23"/>
                <w:szCs w:val="23"/>
              </w:rPr>
              <w:t>%</w:t>
            </w:r>
            <w:r>
              <w:rPr>
                <w:rFonts w:ascii="宋体" w:hAnsi="宋体" w:cs="宋体" w:hint="eastAsia"/>
                <w:b/>
                <w:kern w:val="0"/>
                <w:sz w:val="23"/>
                <w:szCs w:val="23"/>
              </w:rPr>
              <w:t>）</w:t>
            </w:r>
          </w:p>
        </w:tc>
        <w:tc>
          <w:tcPr>
            <w:tcW w:w="1155" w:type="dxa"/>
            <w:tcBorders>
              <w:top w:val="single" w:sz="4" w:space="0" w:color="auto"/>
              <w:left w:val="nil"/>
              <w:bottom w:val="single" w:sz="4" w:space="0" w:color="auto"/>
              <w:right w:val="nil"/>
            </w:tcBorders>
            <w:vAlign w:val="center"/>
          </w:tcPr>
          <w:p w14:paraId="1CC322BF"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医院信息</w:t>
            </w:r>
          </w:p>
          <w:p w14:paraId="0518C1C5"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公开</w:t>
            </w:r>
          </w:p>
          <w:p w14:paraId="21CE67E1" w14:textId="77777777" w:rsidR="002D590B" w:rsidRDefault="00015AF4">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r>
              <w:rPr>
                <w:rFonts w:ascii="宋体" w:hAnsi="宋体" w:cs="宋体" w:hint="eastAsia"/>
                <w:b/>
                <w:kern w:val="0"/>
                <w:sz w:val="23"/>
                <w:szCs w:val="23"/>
              </w:rPr>
              <w:t>%</w:t>
            </w:r>
            <w:r>
              <w:rPr>
                <w:rFonts w:ascii="宋体" w:hAnsi="宋体" w:cs="宋体" w:hint="eastAsia"/>
                <w:b/>
                <w:kern w:val="0"/>
                <w:sz w:val="23"/>
                <w:szCs w:val="23"/>
              </w:rPr>
              <w:t>）</w:t>
            </w:r>
          </w:p>
        </w:tc>
      </w:tr>
      <w:tr w:rsidR="002D590B" w14:paraId="58F27D73" w14:textId="77777777">
        <w:trPr>
          <w:trHeight w:val="270"/>
        </w:trPr>
        <w:tc>
          <w:tcPr>
            <w:tcW w:w="1065" w:type="dxa"/>
            <w:tcBorders>
              <w:top w:val="nil"/>
              <w:left w:val="nil"/>
              <w:bottom w:val="nil"/>
              <w:right w:val="nil"/>
            </w:tcBorders>
            <w:vAlign w:val="bottom"/>
          </w:tcPr>
          <w:p w14:paraId="2507AC7E"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公立</w:t>
            </w:r>
          </w:p>
        </w:tc>
        <w:tc>
          <w:tcPr>
            <w:tcW w:w="1080" w:type="dxa"/>
            <w:tcBorders>
              <w:top w:val="nil"/>
              <w:left w:val="nil"/>
              <w:bottom w:val="nil"/>
              <w:right w:val="nil"/>
            </w:tcBorders>
            <w:vAlign w:val="center"/>
          </w:tcPr>
          <w:p w14:paraId="32711213"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7.1</w:t>
            </w:r>
          </w:p>
        </w:tc>
        <w:tc>
          <w:tcPr>
            <w:tcW w:w="930" w:type="dxa"/>
            <w:tcBorders>
              <w:top w:val="nil"/>
              <w:left w:val="nil"/>
              <w:bottom w:val="nil"/>
              <w:right w:val="nil"/>
            </w:tcBorders>
            <w:vAlign w:val="center"/>
          </w:tcPr>
          <w:p w14:paraId="36CF3480"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12.7</w:t>
            </w:r>
          </w:p>
        </w:tc>
        <w:tc>
          <w:tcPr>
            <w:tcW w:w="1140" w:type="dxa"/>
            <w:tcBorders>
              <w:top w:val="nil"/>
              <w:left w:val="nil"/>
              <w:bottom w:val="nil"/>
              <w:right w:val="nil"/>
            </w:tcBorders>
            <w:vAlign w:val="center"/>
          </w:tcPr>
          <w:p w14:paraId="461DE4EC"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6.8</w:t>
            </w:r>
          </w:p>
        </w:tc>
        <w:tc>
          <w:tcPr>
            <w:tcW w:w="795" w:type="dxa"/>
            <w:tcBorders>
              <w:top w:val="nil"/>
              <w:left w:val="nil"/>
              <w:bottom w:val="nil"/>
              <w:right w:val="nil"/>
            </w:tcBorders>
            <w:vAlign w:val="center"/>
          </w:tcPr>
          <w:p w14:paraId="03E40416"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6.6</w:t>
            </w:r>
          </w:p>
        </w:tc>
        <w:tc>
          <w:tcPr>
            <w:tcW w:w="1185" w:type="dxa"/>
            <w:tcBorders>
              <w:top w:val="nil"/>
              <w:left w:val="nil"/>
              <w:bottom w:val="nil"/>
              <w:right w:val="nil"/>
            </w:tcBorders>
            <w:vAlign w:val="center"/>
          </w:tcPr>
          <w:p w14:paraId="5D7D6501"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6.6</w:t>
            </w:r>
          </w:p>
        </w:tc>
        <w:tc>
          <w:tcPr>
            <w:tcW w:w="825" w:type="dxa"/>
            <w:tcBorders>
              <w:top w:val="nil"/>
              <w:left w:val="nil"/>
              <w:bottom w:val="nil"/>
              <w:right w:val="nil"/>
            </w:tcBorders>
            <w:vAlign w:val="center"/>
          </w:tcPr>
          <w:p w14:paraId="2E98CD3A"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1.5</w:t>
            </w:r>
          </w:p>
        </w:tc>
        <w:tc>
          <w:tcPr>
            <w:tcW w:w="915" w:type="dxa"/>
            <w:tcBorders>
              <w:top w:val="nil"/>
              <w:left w:val="nil"/>
              <w:bottom w:val="nil"/>
              <w:right w:val="nil"/>
            </w:tcBorders>
            <w:vAlign w:val="center"/>
          </w:tcPr>
          <w:p w14:paraId="3705F932"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1.2</w:t>
            </w:r>
          </w:p>
        </w:tc>
        <w:tc>
          <w:tcPr>
            <w:tcW w:w="1155" w:type="dxa"/>
            <w:tcBorders>
              <w:top w:val="nil"/>
              <w:left w:val="nil"/>
              <w:bottom w:val="nil"/>
              <w:right w:val="nil"/>
            </w:tcBorders>
            <w:vAlign w:val="center"/>
          </w:tcPr>
          <w:p w14:paraId="7B35C5CF"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1.9</w:t>
            </w:r>
          </w:p>
        </w:tc>
      </w:tr>
      <w:tr w:rsidR="002D590B" w14:paraId="54FB91FD" w14:textId="77777777">
        <w:trPr>
          <w:trHeight w:val="270"/>
        </w:trPr>
        <w:tc>
          <w:tcPr>
            <w:tcW w:w="1065" w:type="dxa"/>
            <w:tcBorders>
              <w:top w:val="nil"/>
              <w:left w:val="nil"/>
              <w:bottom w:val="nil"/>
              <w:right w:val="nil"/>
            </w:tcBorders>
            <w:vAlign w:val="bottom"/>
          </w:tcPr>
          <w:p w14:paraId="69C38A4E"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非公立</w:t>
            </w:r>
          </w:p>
        </w:tc>
        <w:tc>
          <w:tcPr>
            <w:tcW w:w="1080" w:type="dxa"/>
            <w:tcBorders>
              <w:top w:val="nil"/>
              <w:left w:val="nil"/>
              <w:bottom w:val="nil"/>
              <w:right w:val="nil"/>
            </w:tcBorders>
            <w:vAlign w:val="center"/>
          </w:tcPr>
          <w:p w14:paraId="0D9DB0E6"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7.2</w:t>
            </w:r>
          </w:p>
        </w:tc>
        <w:tc>
          <w:tcPr>
            <w:tcW w:w="930" w:type="dxa"/>
            <w:tcBorders>
              <w:top w:val="nil"/>
              <w:left w:val="nil"/>
              <w:bottom w:val="nil"/>
              <w:right w:val="nil"/>
            </w:tcBorders>
            <w:vAlign w:val="center"/>
          </w:tcPr>
          <w:p w14:paraId="759823DE"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6.7</w:t>
            </w:r>
          </w:p>
        </w:tc>
        <w:tc>
          <w:tcPr>
            <w:tcW w:w="1140" w:type="dxa"/>
            <w:tcBorders>
              <w:top w:val="nil"/>
              <w:left w:val="nil"/>
              <w:bottom w:val="nil"/>
              <w:right w:val="nil"/>
            </w:tcBorders>
            <w:vAlign w:val="center"/>
          </w:tcPr>
          <w:p w14:paraId="68A50451"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10.0</w:t>
            </w:r>
          </w:p>
        </w:tc>
        <w:tc>
          <w:tcPr>
            <w:tcW w:w="795" w:type="dxa"/>
            <w:tcBorders>
              <w:top w:val="nil"/>
              <w:left w:val="nil"/>
              <w:bottom w:val="nil"/>
              <w:right w:val="nil"/>
            </w:tcBorders>
            <w:vAlign w:val="center"/>
          </w:tcPr>
          <w:p w14:paraId="1DA37D41"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3.9</w:t>
            </w:r>
          </w:p>
        </w:tc>
        <w:tc>
          <w:tcPr>
            <w:tcW w:w="1185" w:type="dxa"/>
            <w:tcBorders>
              <w:top w:val="nil"/>
              <w:left w:val="nil"/>
              <w:bottom w:val="nil"/>
              <w:right w:val="nil"/>
            </w:tcBorders>
            <w:vAlign w:val="center"/>
          </w:tcPr>
          <w:p w14:paraId="2408FAAF"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10.5</w:t>
            </w:r>
          </w:p>
        </w:tc>
        <w:tc>
          <w:tcPr>
            <w:tcW w:w="825" w:type="dxa"/>
            <w:tcBorders>
              <w:top w:val="nil"/>
              <w:left w:val="nil"/>
              <w:bottom w:val="nil"/>
              <w:right w:val="nil"/>
            </w:tcBorders>
            <w:vAlign w:val="center"/>
          </w:tcPr>
          <w:p w14:paraId="0785DDC6"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1.5</w:t>
            </w:r>
          </w:p>
        </w:tc>
        <w:tc>
          <w:tcPr>
            <w:tcW w:w="915" w:type="dxa"/>
            <w:tcBorders>
              <w:top w:val="nil"/>
              <w:left w:val="nil"/>
              <w:bottom w:val="nil"/>
              <w:right w:val="nil"/>
            </w:tcBorders>
            <w:vAlign w:val="center"/>
          </w:tcPr>
          <w:p w14:paraId="3599B25F"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2.6</w:t>
            </w:r>
          </w:p>
        </w:tc>
        <w:tc>
          <w:tcPr>
            <w:tcW w:w="1155" w:type="dxa"/>
            <w:tcBorders>
              <w:top w:val="nil"/>
              <w:left w:val="nil"/>
              <w:bottom w:val="nil"/>
              <w:right w:val="nil"/>
            </w:tcBorders>
            <w:vAlign w:val="center"/>
          </w:tcPr>
          <w:p w14:paraId="645CBE40"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2.4</w:t>
            </w:r>
          </w:p>
        </w:tc>
      </w:tr>
      <w:tr w:rsidR="002D590B" w14:paraId="097BC97B" w14:textId="77777777">
        <w:trPr>
          <w:trHeight w:val="270"/>
        </w:trPr>
        <w:tc>
          <w:tcPr>
            <w:tcW w:w="1065" w:type="dxa"/>
            <w:tcBorders>
              <w:top w:val="nil"/>
              <w:left w:val="nil"/>
              <w:bottom w:val="single" w:sz="4" w:space="0" w:color="auto"/>
              <w:right w:val="nil"/>
            </w:tcBorders>
            <w:vAlign w:val="bottom"/>
          </w:tcPr>
          <w:p w14:paraId="521C7099"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全市</w:t>
            </w:r>
          </w:p>
        </w:tc>
        <w:tc>
          <w:tcPr>
            <w:tcW w:w="1080" w:type="dxa"/>
            <w:tcBorders>
              <w:top w:val="nil"/>
              <w:left w:val="nil"/>
              <w:bottom w:val="single" w:sz="4" w:space="0" w:color="auto"/>
              <w:right w:val="nil"/>
            </w:tcBorders>
            <w:vAlign w:val="center"/>
          </w:tcPr>
          <w:p w14:paraId="281887AF" w14:textId="77777777" w:rsidR="002D590B" w:rsidRDefault="00015AF4">
            <w:pPr>
              <w:widowControl/>
              <w:spacing w:line="360" w:lineRule="auto"/>
              <w:jc w:val="center"/>
              <w:rPr>
                <w:rFonts w:ascii="宋体" w:hAnsi="宋体" w:cs="宋体"/>
                <w:kern w:val="0"/>
                <w:sz w:val="23"/>
                <w:szCs w:val="23"/>
              </w:rPr>
            </w:pPr>
            <w:r>
              <w:rPr>
                <w:rFonts w:ascii="宋体" w:hAnsi="宋体" w:cs="宋体" w:hint="eastAsia"/>
                <w:kern w:val="0"/>
                <w:sz w:val="23"/>
                <w:szCs w:val="23"/>
              </w:rPr>
              <w:t>7.1</w:t>
            </w:r>
          </w:p>
        </w:tc>
        <w:tc>
          <w:tcPr>
            <w:tcW w:w="930" w:type="dxa"/>
            <w:tcBorders>
              <w:top w:val="nil"/>
              <w:left w:val="nil"/>
              <w:bottom w:val="single" w:sz="4" w:space="0" w:color="auto"/>
              <w:right w:val="nil"/>
            </w:tcBorders>
            <w:vAlign w:val="center"/>
          </w:tcPr>
          <w:p w14:paraId="5019FFD8"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11.8</w:t>
            </w:r>
          </w:p>
        </w:tc>
        <w:tc>
          <w:tcPr>
            <w:tcW w:w="1140" w:type="dxa"/>
            <w:tcBorders>
              <w:top w:val="nil"/>
              <w:left w:val="nil"/>
              <w:bottom w:val="single" w:sz="4" w:space="0" w:color="auto"/>
              <w:right w:val="nil"/>
            </w:tcBorders>
            <w:vAlign w:val="center"/>
          </w:tcPr>
          <w:p w14:paraId="1078CEF3"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7.3</w:t>
            </w:r>
          </w:p>
        </w:tc>
        <w:tc>
          <w:tcPr>
            <w:tcW w:w="795" w:type="dxa"/>
            <w:tcBorders>
              <w:top w:val="nil"/>
              <w:left w:val="nil"/>
              <w:bottom w:val="single" w:sz="4" w:space="0" w:color="auto"/>
              <w:right w:val="nil"/>
            </w:tcBorders>
            <w:vAlign w:val="center"/>
          </w:tcPr>
          <w:p w14:paraId="05A7ECB7"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6.2</w:t>
            </w:r>
          </w:p>
        </w:tc>
        <w:tc>
          <w:tcPr>
            <w:tcW w:w="1185" w:type="dxa"/>
            <w:tcBorders>
              <w:top w:val="nil"/>
              <w:left w:val="nil"/>
              <w:bottom w:val="single" w:sz="4" w:space="0" w:color="auto"/>
              <w:right w:val="nil"/>
            </w:tcBorders>
            <w:vAlign w:val="center"/>
          </w:tcPr>
          <w:p w14:paraId="1630D0F2"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7.1</w:t>
            </w:r>
          </w:p>
        </w:tc>
        <w:tc>
          <w:tcPr>
            <w:tcW w:w="825" w:type="dxa"/>
            <w:tcBorders>
              <w:top w:val="nil"/>
              <w:left w:val="nil"/>
              <w:bottom w:val="single" w:sz="4" w:space="0" w:color="auto"/>
              <w:right w:val="nil"/>
            </w:tcBorders>
            <w:vAlign w:val="center"/>
          </w:tcPr>
          <w:p w14:paraId="69CC8AAF"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1.5</w:t>
            </w:r>
          </w:p>
        </w:tc>
        <w:tc>
          <w:tcPr>
            <w:tcW w:w="915" w:type="dxa"/>
            <w:tcBorders>
              <w:top w:val="nil"/>
              <w:left w:val="nil"/>
              <w:bottom w:val="single" w:sz="4" w:space="0" w:color="auto"/>
              <w:right w:val="nil"/>
            </w:tcBorders>
            <w:vAlign w:val="center"/>
          </w:tcPr>
          <w:p w14:paraId="66F1534F"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1.4</w:t>
            </w:r>
          </w:p>
        </w:tc>
        <w:tc>
          <w:tcPr>
            <w:tcW w:w="1155" w:type="dxa"/>
            <w:tcBorders>
              <w:top w:val="nil"/>
              <w:left w:val="nil"/>
              <w:bottom w:val="single" w:sz="4" w:space="0" w:color="auto"/>
              <w:right w:val="nil"/>
            </w:tcBorders>
            <w:vAlign w:val="center"/>
          </w:tcPr>
          <w:p w14:paraId="5315E194" w14:textId="77777777" w:rsidR="002D590B" w:rsidRDefault="00015AF4">
            <w:pPr>
              <w:spacing w:line="360" w:lineRule="auto"/>
              <w:jc w:val="center"/>
              <w:rPr>
                <w:rFonts w:ascii="宋体" w:hAnsi="宋体" w:cs="宋体"/>
                <w:kern w:val="0"/>
                <w:sz w:val="23"/>
                <w:szCs w:val="23"/>
              </w:rPr>
            </w:pPr>
            <w:r>
              <w:rPr>
                <w:rFonts w:ascii="宋体" w:hAnsi="宋体" w:cs="宋体" w:hint="eastAsia"/>
                <w:kern w:val="0"/>
                <w:sz w:val="23"/>
                <w:szCs w:val="23"/>
              </w:rPr>
              <w:t>2.0</w:t>
            </w:r>
          </w:p>
        </w:tc>
      </w:tr>
    </w:tbl>
    <w:p w14:paraId="6CED1792" w14:textId="77777777" w:rsidR="002D590B" w:rsidRDefault="00015AF4">
      <w:pPr>
        <w:spacing w:beforeLines="20" w:before="62" w:afterLines="20" w:after="62" w:line="360" w:lineRule="auto"/>
        <w:jc w:val="left"/>
        <w:rPr>
          <w:rFonts w:ascii="宋体" w:hAnsi="宋体" w:cs="仿宋"/>
        </w:rPr>
      </w:pPr>
      <w:r>
        <w:rPr>
          <w:rFonts w:ascii="宋体" w:hAnsi="宋体" w:cs="仿宋" w:hint="eastAsia"/>
        </w:rPr>
        <w:t>注：不满意选择比是指对某方面不满意的回复人数占全部回复人数的比例。</w:t>
      </w:r>
    </w:p>
    <w:p w14:paraId="5EAE3C77" w14:textId="77777777" w:rsidR="002D590B" w:rsidRDefault="002D590B">
      <w:pPr>
        <w:spacing w:beforeLines="20" w:before="62" w:afterLines="20" w:after="62" w:line="360" w:lineRule="auto"/>
        <w:jc w:val="center"/>
        <w:rPr>
          <w:rFonts w:ascii="宋体" w:hAnsi="宋体"/>
        </w:rPr>
      </w:pPr>
    </w:p>
    <w:p w14:paraId="5D5287F5" w14:textId="77777777" w:rsidR="002D590B" w:rsidRDefault="00015AF4">
      <w:pPr>
        <w:spacing w:beforeLines="20" w:before="62" w:afterLines="20" w:after="62" w:line="360" w:lineRule="auto"/>
        <w:jc w:val="center"/>
        <w:rPr>
          <w:rFonts w:ascii="宋体" w:hAnsi="宋体"/>
        </w:rPr>
      </w:pPr>
      <w:r>
        <w:rPr>
          <w:noProof/>
        </w:rPr>
        <w:drawing>
          <wp:inline distT="0" distB="0" distL="114300" distR="114300" wp14:anchorId="2F4580C6" wp14:editId="186A0A91">
            <wp:extent cx="5599430" cy="3275965"/>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369CF8" w14:textId="77777777" w:rsidR="002D590B" w:rsidRDefault="00015AF4">
      <w:pPr>
        <w:spacing w:beforeLines="20" w:before="62" w:afterLines="20" w:after="62" w:line="360" w:lineRule="auto"/>
        <w:jc w:val="center"/>
      </w:pPr>
      <w:r>
        <w:rPr>
          <w:rFonts w:ascii="宋体" w:hAnsi="宋体" w:hint="eastAsia"/>
        </w:rPr>
        <w:t>图</w:t>
      </w:r>
      <w:r>
        <w:rPr>
          <w:rFonts w:ascii="宋体" w:hAnsi="宋体" w:hint="eastAsia"/>
        </w:rPr>
        <w:t xml:space="preserve">5 </w:t>
      </w:r>
      <w:r>
        <w:rPr>
          <w:rFonts w:ascii="宋体" w:hAnsi="宋体" w:cs="仿宋" w:hint="eastAsia"/>
          <w:sz w:val="22"/>
          <w:szCs w:val="22"/>
        </w:rPr>
        <w:t>2021</w:t>
      </w:r>
      <w:r>
        <w:rPr>
          <w:rFonts w:ascii="宋体" w:hAnsi="宋体" w:cs="仿宋" w:hint="eastAsia"/>
          <w:sz w:val="22"/>
          <w:szCs w:val="22"/>
        </w:rPr>
        <w:t>年第二季度</w:t>
      </w:r>
      <w:r>
        <w:rPr>
          <w:rFonts w:ascii="宋体" w:hAnsi="宋体" w:hint="eastAsia"/>
        </w:rPr>
        <w:t>市民就医不满意原因反馈总体情况</w:t>
      </w:r>
    </w:p>
    <w:p w14:paraId="44309D33" w14:textId="77777777" w:rsidR="002D590B" w:rsidRDefault="002D590B">
      <w:pPr>
        <w:tabs>
          <w:tab w:val="left" w:pos="5245"/>
        </w:tabs>
        <w:spacing w:beforeLines="20" w:before="62" w:afterLines="20" w:after="62" w:line="360" w:lineRule="auto"/>
        <w:jc w:val="left"/>
        <w:rPr>
          <w:rFonts w:ascii="宋体" w:hAnsi="宋体" w:cs="仿宋"/>
          <w:sz w:val="28"/>
          <w:szCs w:val="28"/>
        </w:rPr>
      </w:pPr>
    </w:p>
    <w:p w14:paraId="180B95D5" w14:textId="77777777" w:rsidR="002D590B" w:rsidRDefault="00015AF4">
      <w:pPr>
        <w:pStyle w:val="a3"/>
        <w:jc w:val="center"/>
        <w:rPr>
          <w:rFonts w:ascii="宋体" w:eastAsia="宋体" w:hAnsi="宋体"/>
          <w:sz w:val="21"/>
        </w:rPr>
      </w:pPr>
      <w:r>
        <w:rPr>
          <w:noProof/>
        </w:rPr>
        <w:lastRenderedPageBreak/>
        <w:drawing>
          <wp:inline distT="0" distB="0" distL="114300" distR="114300" wp14:anchorId="37241FF6" wp14:editId="7FEAFE8C">
            <wp:extent cx="5572125" cy="334391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7FB9DD" w14:textId="77777777" w:rsidR="002D590B" w:rsidRDefault="002D590B">
      <w:pPr>
        <w:pStyle w:val="a3"/>
        <w:jc w:val="center"/>
        <w:rPr>
          <w:rFonts w:ascii="宋体" w:eastAsia="宋体" w:hAnsi="宋体"/>
          <w:sz w:val="21"/>
        </w:rPr>
      </w:pPr>
    </w:p>
    <w:p w14:paraId="320A1094" w14:textId="77777777" w:rsidR="002D590B" w:rsidRDefault="00015AF4">
      <w:pPr>
        <w:ind w:firstLineChars="200" w:firstLine="420"/>
        <w:jc w:val="center"/>
        <w:rPr>
          <w:rFonts w:eastAsia="仿宋"/>
        </w:rPr>
      </w:pPr>
      <w:r>
        <w:rPr>
          <w:rFonts w:ascii="宋体" w:hAnsi="宋体" w:hint="eastAsia"/>
        </w:rPr>
        <w:t>图</w:t>
      </w:r>
      <w:r>
        <w:rPr>
          <w:rFonts w:ascii="宋体" w:hAnsi="宋体" w:hint="eastAsia"/>
        </w:rPr>
        <w:t xml:space="preserve">6 </w:t>
      </w:r>
      <w:r>
        <w:rPr>
          <w:rFonts w:ascii="宋体" w:hAnsi="宋体" w:cs="仿宋" w:hint="eastAsia"/>
          <w:sz w:val="22"/>
          <w:szCs w:val="22"/>
        </w:rPr>
        <w:t>2021</w:t>
      </w:r>
      <w:r>
        <w:rPr>
          <w:rFonts w:ascii="宋体" w:hAnsi="宋体" w:cs="仿宋" w:hint="eastAsia"/>
          <w:sz w:val="22"/>
          <w:szCs w:val="22"/>
        </w:rPr>
        <w:t>年第二季度</w:t>
      </w:r>
      <w:r>
        <w:rPr>
          <w:rFonts w:ascii="宋体" w:hAnsi="宋体" w:hint="eastAsia"/>
        </w:rPr>
        <w:t>市民在公立医院和非公立医院就医不满意原因反馈情况</w:t>
      </w:r>
    </w:p>
    <w:p w14:paraId="472AC792" w14:textId="77777777" w:rsidR="002D590B" w:rsidRDefault="002D590B">
      <w:pPr>
        <w:pStyle w:val="a3"/>
        <w:jc w:val="center"/>
        <w:rPr>
          <w:rFonts w:ascii="宋体" w:eastAsia="宋体" w:hAnsi="宋体"/>
          <w:sz w:val="21"/>
          <w:szCs w:val="21"/>
        </w:rPr>
      </w:pPr>
    </w:p>
    <w:p w14:paraId="4F3702A8" w14:textId="77777777" w:rsidR="002D590B" w:rsidRDefault="00015AF4">
      <w:pPr>
        <w:pStyle w:val="a3"/>
        <w:jc w:val="center"/>
        <w:rPr>
          <w:rFonts w:ascii="宋体" w:eastAsia="宋体" w:hAnsi="宋体"/>
          <w:sz w:val="21"/>
        </w:rPr>
      </w:pPr>
      <w:r>
        <w:rPr>
          <w:noProof/>
        </w:rPr>
        <w:drawing>
          <wp:inline distT="0" distB="0" distL="114300" distR="114300" wp14:anchorId="75344D6C" wp14:editId="728B1F25">
            <wp:extent cx="5372735" cy="377317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6DBFF9" w14:textId="77777777" w:rsidR="002D590B" w:rsidRDefault="002D590B">
      <w:pPr>
        <w:pStyle w:val="a3"/>
        <w:jc w:val="center"/>
        <w:rPr>
          <w:rFonts w:ascii="宋体" w:eastAsia="宋体" w:hAnsi="宋体"/>
          <w:sz w:val="21"/>
        </w:rPr>
      </w:pPr>
    </w:p>
    <w:p w14:paraId="696A7E3C" w14:textId="77777777" w:rsidR="002D590B" w:rsidRDefault="00015AF4">
      <w:pPr>
        <w:pStyle w:val="a7"/>
        <w:widowControl w:val="0"/>
        <w:spacing w:before="0" w:beforeAutospacing="0" w:after="0" w:afterAutospacing="0" w:line="540" w:lineRule="exact"/>
        <w:ind w:firstLineChars="700" w:firstLine="1540"/>
        <w:jc w:val="both"/>
        <w:rPr>
          <w:rFonts w:ascii="仿宋_GB2312" w:eastAsia="仿宋_GB2312"/>
          <w:spacing w:val="-3"/>
          <w:sz w:val="28"/>
          <w:szCs w:val="28"/>
        </w:rPr>
      </w:pPr>
      <w:r>
        <w:rPr>
          <w:rFonts w:cs="仿宋" w:hint="eastAsia"/>
          <w:sz w:val="22"/>
          <w:szCs w:val="22"/>
        </w:rPr>
        <w:t>图</w:t>
      </w:r>
      <w:r>
        <w:rPr>
          <w:rFonts w:cs="仿宋" w:hint="eastAsia"/>
          <w:sz w:val="22"/>
          <w:szCs w:val="22"/>
        </w:rPr>
        <w:t>7</w:t>
      </w:r>
      <w:r>
        <w:rPr>
          <w:rFonts w:cs="仿宋"/>
          <w:sz w:val="22"/>
          <w:szCs w:val="22"/>
        </w:rPr>
        <w:t xml:space="preserve"> </w:t>
      </w:r>
      <w:r>
        <w:rPr>
          <w:rFonts w:cs="仿宋" w:hint="eastAsia"/>
          <w:sz w:val="22"/>
          <w:szCs w:val="22"/>
        </w:rPr>
        <w:t>近四个季度</w:t>
      </w:r>
      <w:r>
        <w:rPr>
          <w:rFonts w:cs="仿宋"/>
          <w:sz w:val="22"/>
          <w:szCs w:val="22"/>
        </w:rPr>
        <w:t>全市医院不满意的原因</w:t>
      </w:r>
      <w:r>
        <w:rPr>
          <w:rFonts w:cs="仿宋" w:hint="eastAsia"/>
          <w:sz w:val="22"/>
          <w:szCs w:val="22"/>
        </w:rPr>
        <w:t>变化情况</w:t>
      </w:r>
      <w:r>
        <w:rPr>
          <w:rFonts w:cs="仿宋"/>
          <w:sz w:val="22"/>
          <w:szCs w:val="22"/>
        </w:rPr>
        <w:t>（</w:t>
      </w:r>
      <w:r>
        <w:rPr>
          <w:rFonts w:cs="仿宋"/>
          <w:sz w:val="22"/>
          <w:szCs w:val="22"/>
        </w:rPr>
        <w:t>%</w:t>
      </w:r>
      <w:r>
        <w:rPr>
          <w:rFonts w:cs="仿宋" w:hint="eastAsia"/>
          <w:sz w:val="22"/>
          <w:szCs w:val="22"/>
        </w:rPr>
        <w:t>）</w:t>
      </w:r>
    </w:p>
    <w:sectPr w:rsidR="002D590B">
      <w:headerReference w:type="default" r:id="rId10"/>
      <w:footerReference w:type="even" r:id="rId11"/>
      <w:footerReference w:type="default" r:id="rId12"/>
      <w:pgSz w:w="11906" w:h="16838"/>
      <w:pgMar w:top="1814" w:right="1474" w:bottom="1474" w:left="1531" w:header="851" w:footer="119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0B949" w14:textId="77777777" w:rsidR="00015AF4" w:rsidRDefault="00015AF4">
      <w:r>
        <w:separator/>
      </w:r>
    </w:p>
  </w:endnote>
  <w:endnote w:type="continuationSeparator" w:id="0">
    <w:p w14:paraId="3B266AC1" w14:textId="77777777" w:rsidR="00015AF4" w:rsidRDefault="0001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90AB" w14:textId="77777777" w:rsidR="002D590B" w:rsidRDefault="00015AF4">
    <w:pPr>
      <w:pStyle w:val="a5"/>
      <w:framePr w:wrap="around" w:vAnchor="text" w:hAnchor="margin" w:xAlign="outside" w:y="1"/>
      <w:rPr>
        <w:rStyle w:val="a8"/>
      </w:rPr>
    </w:pPr>
    <w:r>
      <w:fldChar w:fldCharType="begin"/>
    </w:r>
    <w:r>
      <w:rPr>
        <w:rStyle w:val="a8"/>
      </w:rPr>
      <w:instrText xml:space="preserve">PAGE  </w:instrText>
    </w:r>
    <w:r>
      <w:fldChar w:fldCharType="end"/>
    </w:r>
  </w:p>
  <w:p w14:paraId="013FDBA6" w14:textId="77777777" w:rsidR="002D590B" w:rsidRDefault="002D590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5B39" w14:textId="77777777" w:rsidR="002D590B" w:rsidRDefault="00015AF4">
    <w:pPr>
      <w:pStyle w:val="a5"/>
      <w:framePr w:w="1259" w:wrap="around" w:vAnchor="text" w:hAnchor="margin" w:xAlign="outside" w:y="2"/>
      <w:ind w:rightChars="78" w:right="164" w:firstLineChars="64" w:firstLine="179"/>
      <w:rPr>
        <w:rStyle w:val="a8"/>
        <w:rFonts w:ascii="宋体" w:hAnsi="宋体"/>
        <w:sz w:val="28"/>
        <w:szCs w:val="28"/>
      </w:rPr>
    </w:pPr>
    <w:r>
      <w:rPr>
        <w:rStyle w:val="a8"/>
        <w:rFonts w:ascii="宋体" w:hAnsi="宋体" w:hint="eastAsia"/>
        <w:sz w:val="28"/>
        <w:szCs w:val="28"/>
      </w:rPr>
      <w:t>－</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sz w:val="28"/>
        <w:szCs w:val="28"/>
      </w:rPr>
      <w:t>20</w:t>
    </w:r>
    <w:r>
      <w:rPr>
        <w:rFonts w:ascii="宋体" w:hAnsi="宋体"/>
        <w:sz w:val="28"/>
        <w:szCs w:val="28"/>
      </w:rPr>
      <w:fldChar w:fldCharType="end"/>
    </w:r>
    <w:r>
      <w:rPr>
        <w:rStyle w:val="a8"/>
        <w:rFonts w:ascii="宋体" w:hAnsi="宋体" w:hint="eastAsia"/>
        <w:sz w:val="28"/>
        <w:szCs w:val="28"/>
      </w:rPr>
      <w:t>－</w:t>
    </w:r>
  </w:p>
  <w:p w14:paraId="3A5058C3" w14:textId="77777777" w:rsidR="002D590B" w:rsidRDefault="002D590B">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0F3A9" w14:textId="77777777" w:rsidR="00015AF4" w:rsidRDefault="00015AF4">
      <w:r>
        <w:separator/>
      </w:r>
    </w:p>
  </w:footnote>
  <w:footnote w:type="continuationSeparator" w:id="0">
    <w:p w14:paraId="6FCADFA4" w14:textId="77777777" w:rsidR="00015AF4" w:rsidRDefault="00015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FE89" w14:textId="77777777" w:rsidR="002D590B" w:rsidRDefault="002D590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DD53A1"/>
    <w:rsid w:val="00015AF4"/>
    <w:rsid w:val="002D590B"/>
    <w:rsid w:val="00D669E1"/>
    <w:rsid w:val="28DD53A1"/>
    <w:rsid w:val="3A1A59E1"/>
    <w:rsid w:val="474C1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2F9BC"/>
  <w15:docId w15:val="{76C2BE60-5E7C-44A8-9DB6-358136CD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mbria" w:eastAsia="黑体" w:hAnsi="Cambria"/>
      <w:sz w:val="20"/>
      <w:szCs w:val="20"/>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8">
    <w:name w:val="page number"/>
    <w:qFormat/>
  </w:style>
  <w:style w:type="paragraph" w:customStyle="1" w:styleId="p0">
    <w:name w:val="p0"/>
    <w:basedOn w:val="a"/>
    <w:pPr>
      <w:widowControl/>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lsq605\Desktop\&#28385;&#24847;&#24230;&#25991;&#20214;\2021&#24180;&#28385;&#24847;&#24230;&#35843;&#26597;\&#19968;&#23395;&#24230;\&#25253;&#21578;\0507\&#22270;&#24418;&#25968;&#25454;%20-%20&#21103;&#2641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lsq605\Desktop\&#28385;&#24847;&#24230;&#25991;&#20214;\2021&#24180;&#28385;&#24847;&#24230;&#35843;&#26597;\&#20108;&#23395;&#24230;\&#25253;&#21578;\&#20998;&#26512;&#25253;&#21578;\&#22270;&#24418;&#25968;&#25454;%20-%20&#21103;&#2641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lsq605\Desktop\&#28385;&#24847;&#24230;&#25991;&#20214;\2021&#24180;&#28385;&#24847;&#24230;&#35843;&#26597;\&#20108;&#23395;&#24230;\&#25253;&#21578;\&#20998;&#26512;&#25253;&#21578;\&#22270;&#24418;&#25968;&#25454;%20-%20&#21103;&#264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dLbls>
          <c:showLegendKey val="0"/>
          <c:showVal val="1"/>
          <c:showCatName val="0"/>
          <c:showSerName val="0"/>
          <c:showPercent val="0"/>
          <c:showBubbleSize val="0"/>
        </c:dLbls>
        <c:gapWidth val="150"/>
        <c:axId val="942042320"/>
        <c:axId val="942042880"/>
      </c:barChart>
      <c:catAx>
        <c:axId val="942042320"/>
        <c:scaling>
          <c:orientation val="minMax"/>
        </c:scaling>
        <c:delete val="0"/>
        <c:axPos val="b"/>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crossAx val="942042880"/>
        <c:crosses val="autoZero"/>
        <c:auto val="1"/>
        <c:lblAlgn val="ctr"/>
        <c:lblOffset val="100"/>
        <c:noMultiLvlLbl val="0"/>
      </c:catAx>
      <c:valAx>
        <c:axId val="942042880"/>
        <c:scaling>
          <c:orientation val="minMax"/>
          <c:max val="1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crossAx val="942042320"/>
        <c:crosses val="autoZero"/>
        <c:crossBetween val="between"/>
        <c:majorUnit val="2"/>
      </c:valAx>
      <c:spPr>
        <a:noFill/>
        <a:ln>
          <a:noFill/>
        </a:ln>
        <a:effectLst/>
      </c:spPr>
    </c:plotArea>
    <c:plotVisOnly val="1"/>
    <c:dispBlanksAs val="gap"/>
    <c:showDLblsOverMax val="0"/>
  </c:chart>
  <c:spPr>
    <a:noFill/>
    <a:ln w="9525" cap="flat" cmpd="sng" algn="ctr">
      <a:noFill/>
      <a:round/>
    </a:ln>
    <a:effectLst/>
  </c:spPr>
  <c:txPr>
    <a:bodyPr/>
    <a:lstStyle/>
    <a:p>
      <a:pPr>
        <a:defRPr lang="zh-CN"/>
      </a:pPr>
      <a:endParaRPr lang="zh-CN"/>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Sheet3!$A$12</c:f>
              <c:strCache>
                <c:ptCount val="1"/>
                <c:pt idx="0">
                  <c:v>公立</c:v>
                </c:pt>
              </c:strCache>
            </c:strRef>
          </c:tx>
          <c:spPr>
            <a:pattFill prst="wdDnDiag">
              <a:fgClr>
                <a:srgbClr val="92D05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Sheet3!$B$11:$I$11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Sheet3!$B$12:$I$12</c:f>
              <c:numCache>
                <c:formatCode>0.0</c:formatCode>
                <c:ptCount val="8"/>
                <c:pt idx="0">
                  <c:v>7.13</c:v>
                </c:pt>
                <c:pt idx="1">
                  <c:v>12.67</c:v>
                </c:pt>
                <c:pt idx="2">
                  <c:v>6.84</c:v>
                </c:pt>
                <c:pt idx="3">
                  <c:v>6.57</c:v>
                </c:pt>
                <c:pt idx="4">
                  <c:v>6.55</c:v>
                </c:pt>
                <c:pt idx="5">
                  <c:v>1.47</c:v>
                </c:pt>
                <c:pt idx="6">
                  <c:v>1.1499999999999999</c:v>
                </c:pt>
                <c:pt idx="7">
                  <c:v>1.92</c:v>
                </c:pt>
              </c:numCache>
            </c:numRef>
          </c:val>
          <c:extLst>
            <c:ext xmlns:c16="http://schemas.microsoft.com/office/drawing/2014/chart" uri="{C3380CC4-5D6E-409C-BE32-E72D297353CC}">
              <c16:uniqueId val="{00000000-3AFB-40C9-82E8-991D62B09E25}"/>
            </c:ext>
          </c:extLst>
        </c:ser>
        <c:ser>
          <c:idx val="1"/>
          <c:order val="1"/>
          <c:tx>
            <c:strRef>
              <c:f>Sheet3!$A$13</c:f>
              <c:strCache>
                <c:ptCount val="1"/>
                <c:pt idx="0">
                  <c:v>非公立</c:v>
                </c:pt>
              </c:strCache>
            </c:strRef>
          </c:tx>
          <c:spPr>
            <a:pattFill prst="wdUpDiag">
              <a:fgClr>
                <a:srgbClr val="FF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Sheet3!$B$11:$I$11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Sheet3!$B$13:$I$13</c:f>
              <c:numCache>
                <c:formatCode>0.0</c:formatCode>
                <c:ptCount val="8"/>
                <c:pt idx="0">
                  <c:v>7.19</c:v>
                </c:pt>
                <c:pt idx="1">
                  <c:v>6.68</c:v>
                </c:pt>
                <c:pt idx="2">
                  <c:v>9.99</c:v>
                </c:pt>
                <c:pt idx="3">
                  <c:v>3.93</c:v>
                </c:pt>
                <c:pt idx="4">
                  <c:v>10.52</c:v>
                </c:pt>
                <c:pt idx="5">
                  <c:v>1.49</c:v>
                </c:pt>
                <c:pt idx="6">
                  <c:v>2.64</c:v>
                </c:pt>
                <c:pt idx="7">
                  <c:v>2.35</c:v>
                </c:pt>
              </c:numCache>
            </c:numRef>
          </c:val>
          <c:extLst>
            <c:ext xmlns:c16="http://schemas.microsoft.com/office/drawing/2014/chart" uri="{C3380CC4-5D6E-409C-BE32-E72D297353CC}">
              <c16:uniqueId val="{00000001-3AFB-40C9-82E8-991D62B09E25}"/>
            </c:ext>
          </c:extLst>
        </c:ser>
        <c:dLbls>
          <c:showLegendKey val="0"/>
          <c:showVal val="1"/>
          <c:showCatName val="0"/>
          <c:showSerName val="0"/>
          <c:showPercent val="0"/>
          <c:showBubbleSize val="0"/>
        </c:dLbls>
        <c:gapWidth val="219"/>
        <c:overlap val="-27"/>
        <c:axId val="942045680"/>
        <c:axId val="942046240"/>
      </c:barChart>
      <c:catAx>
        <c:axId val="94204568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42046240"/>
        <c:crosses val="autoZero"/>
        <c:auto val="1"/>
        <c:lblAlgn val="ctr"/>
        <c:lblOffset val="100"/>
        <c:noMultiLvlLbl val="0"/>
      </c:catAx>
      <c:valAx>
        <c:axId val="942046240"/>
        <c:scaling>
          <c:orientation val="minMax"/>
        </c:scaling>
        <c:delete val="0"/>
        <c:axPos val="l"/>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420456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Sheet3!$A$7</c:f>
              <c:strCache>
                <c:ptCount val="1"/>
                <c:pt idx="0">
                  <c:v>2020年第三季度</c:v>
                </c:pt>
              </c:strCache>
            </c:strRef>
          </c:tx>
          <c:spPr>
            <a:solidFill>
              <a:schemeClr val="accent2"/>
            </a:solidFill>
            <a:ln>
              <a:noFill/>
            </a:ln>
            <a:effectLst/>
          </c:spPr>
          <c:invertIfNegative val="0"/>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Sheet3!$B$7:$I$7</c:f>
              <c:numCache>
                <c:formatCode>0.0</c:formatCode>
                <c:ptCount val="8"/>
                <c:pt idx="0">
                  <c:v>12.626434822138901</c:v>
                </c:pt>
                <c:pt idx="1">
                  <c:v>8.1543357199681807</c:v>
                </c:pt>
                <c:pt idx="2">
                  <c:v>7.9384020911467204</c:v>
                </c:pt>
                <c:pt idx="3">
                  <c:v>6.8587339470394397</c:v>
                </c:pt>
                <c:pt idx="4">
                  <c:v>4.0288669166950797</c:v>
                </c:pt>
                <c:pt idx="5">
                  <c:v>1.1876349585180099</c:v>
                </c:pt>
                <c:pt idx="6">
                  <c:v>1.3581088760086399</c:v>
                </c:pt>
                <c:pt idx="7">
                  <c:v>0.63643595863166302</c:v>
                </c:pt>
              </c:numCache>
            </c:numRef>
          </c:val>
          <c:extLst>
            <c:ext xmlns:c16="http://schemas.microsoft.com/office/drawing/2014/chart" uri="{C3380CC4-5D6E-409C-BE32-E72D297353CC}">
              <c16:uniqueId val="{00000000-1D39-4048-A2A6-037BD5030CB5}"/>
            </c:ext>
          </c:extLst>
        </c:ser>
        <c:ser>
          <c:idx val="1"/>
          <c:order val="1"/>
          <c:tx>
            <c:strRef>
              <c:f>Sheet3!$A$8</c:f>
              <c:strCache>
                <c:ptCount val="1"/>
                <c:pt idx="0">
                  <c:v>2020年第四季度</c:v>
                </c:pt>
              </c:strCache>
            </c:strRef>
          </c:tx>
          <c:spPr>
            <a:solidFill>
              <a:schemeClr val="accent4"/>
            </a:solidFill>
            <a:ln>
              <a:noFill/>
            </a:ln>
            <a:effectLst/>
          </c:spPr>
          <c:invertIfNegative val="0"/>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Sheet3!$B$8:$I$8</c:f>
              <c:numCache>
                <c:formatCode>0.0</c:formatCode>
                <c:ptCount val="8"/>
                <c:pt idx="0">
                  <c:v>7.2119463770575303</c:v>
                </c:pt>
                <c:pt idx="1">
                  <c:v>12.6964194807399</c:v>
                </c:pt>
                <c:pt idx="2">
                  <c:v>7.6531478024775197</c:v>
                </c:pt>
                <c:pt idx="3">
                  <c:v>6.6553538096046196</c:v>
                </c:pt>
                <c:pt idx="4">
                  <c:v>8.0027150856948897</c:v>
                </c:pt>
                <c:pt idx="5">
                  <c:v>1.6460207025284199</c:v>
                </c:pt>
                <c:pt idx="6">
                  <c:v>1.51705413202104</c:v>
                </c:pt>
                <c:pt idx="7">
                  <c:v>1.75801798744273</c:v>
                </c:pt>
              </c:numCache>
            </c:numRef>
          </c:val>
          <c:extLst>
            <c:ext xmlns:c16="http://schemas.microsoft.com/office/drawing/2014/chart" uri="{C3380CC4-5D6E-409C-BE32-E72D297353CC}">
              <c16:uniqueId val="{00000001-1D39-4048-A2A6-037BD5030CB5}"/>
            </c:ext>
          </c:extLst>
        </c:ser>
        <c:ser>
          <c:idx val="2"/>
          <c:order val="2"/>
          <c:tx>
            <c:strRef>
              <c:f>Sheet3!$A$9</c:f>
              <c:strCache>
                <c:ptCount val="1"/>
                <c:pt idx="0">
                  <c:v>2021年第一季度</c:v>
                </c:pt>
              </c:strCache>
            </c:strRef>
          </c:tx>
          <c:spPr>
            <a:solidFill>
              <a:schemeClr val="accent6"/>
            </a:solidFill>
            <a:ln>
              <a:noFill/>
            </a:ln>
            <a:effectLst/>
          </c:spPr>
          <c:invertIfNegative val="0"/>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Sheet3!$B$9:$I$9</c:f>
              <c:numCache>
                <c:formatCode>0.0</c:formatCode>
                <c:ptCount val="8"/>
                <c:pt idx="0">
                  <c:v>7.65</c:v>
                </c:pt>
                <c:pt idx="1">
                  <c:v>12.58</c:v>
                </c:pt>
                <c:pt idx="2">
                  <c:v>7.33</c:v>
                </c:pt>
                <c:pt idx="3">
                  <c:v>6</c:v>
                </c:pt>
                <c:pt idx="4">
                  <c:v>7.74</c:v>
                </c:pt>
                <c:pt idx="5">
                  <c:v>1.45</c:v>
                </c:pt>
                <c:pt idx="6">
                  <c:v>1.4</c:v>
                </c:pt>
                <c:pt idx="7">
                  <c:v>1.73</c:v>
                </c:pt>
              </c:numCache>
            </c:numRef>
          </c:val>
          <c:extLst>
            <c:ext xmlns:c16="http://schemas.microsoft.com/office/drawing/2014/chart" uri="{C3380CC4-5D6E-409C-BE32-E72D297353CC}">
              <c16:uniqueId val="{00000002-1D39-4048-A2A6-037BD5030CB5}"/>
            </c:ext>
          </c:extLst>
        </c:ser>
        <c:ser>
          <c:idx val="3"/>
          <c:order val="3"/>
          <c:tx>
            <c:strRef>
              <c:f>Sheet3!$A$10</c:f>
              <c:strCache>
                <c:ptCount val="1"/>
                <c:pt idx="0">
                  <c:v>2021年第二季度</c:v>
                </c:pt>
              </c:strCache>
            </c:strRef>
          </c:tx>
          <c:spPr>
            <a:solidFill>
              <a:schemeClr val="accent2">
                <a:lumMod val="60000"/>
              </a:schemeClr>
            </a:solidFill>
            <a:ln>
              <a:noFill/>
            </a:ln>
            <a:effectLst/>
          </c:spPr>
          <c:invertIfNegative val="0"/>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Sheet3!$B$10:$I$10</c:f>
              <c:numCache>
                <c:formatCode>0.0</c:formatCode>
                <c:ptCount val="8"/>
                <c:pt idx="0">
                  <c:v>7.14</c:v>
                </c:pt>
                <c:pt idx="1">
                  <c:v>11.79</c:v>
                </c:pt>
                <c:pt idx="2">
                  <c:v>7.3</c:v>
                </c:pt>
                <c:pt idx="3">
                  <c:v>6.18</c:v>
                </c:pt>
                <c:pt idx="4">
                  <c:v>7.13</c:v>
                </c:pt>
                <c:pt idx="5">
                  <c:v>1.47</c:v>
                </c:pt>
                <c:pt idx="6">
                  <c:v>1.37</c:v>
                </c:pt>
                <c:pt idx="7">
                  <c:v>1.99</c:v>
                </c:pt>
              </c:numCache>
            </c:numRef>
          </c:val>
          <c:extLst>
            <c:ext xmlns:c16="http://schemas.microsoft.com/office/drawing/2014/chart" uri="{C3380CC4-5D6E-409C-BE32-E72D297353CC}">
              <c16:uniqueId val="{00000003-1D39-4048-A2A6-037BD5030CB5}"/>
            </c:ext>
          </c:extLst>
        </c:ser>
        <c:dLbls>
          <c:showLegendKey val="0"/>
          <c:showVal val="0"/>
          <c:showCatName val="0"/>
          <c:showSerName val="0"/>
          <c:showPercent val="0"/>
          <c:showBubbleSize val="0"/>
        </c:dLbls>
        <c:gapWidth val="219"/>
        <c:overlap val="-27"/>
        <c:axId val="612781744"/>
        <c:axId val="612782304"/>
      </c:barChart>
      <c:catAx>
        <c:axId val="61278174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12782304"/>
        <c:crosses val="autoZero"/>
        <c:auto val="1"/>
        <c:lblAlgn val="ctr"/>
        <c:lblOffset val="100"/>
        <c:noMultiLvlLbl val="0"/>
      </c:catAx>
      <c:valAx>
        <c:axId val="612782304"/>
        <c:scaling>
          <c:orientation val="minMax"/>
        </c:scaling>
        <c:delete val="0"/>
        <c:axPos val="l"/>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127817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图片 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600700" cy="3276600"/>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乔诗凝</dc:creator>
  <cp:lastModifiedBy>0</cp:lastModifiedBy>
  <cp:revision>2</cp:revision>
  <dcterms:created xsi:type="dcterms:W3CDTF">2021-10-08T08:37:00Z</dcterms:created>
  <dcterms:modified xsi:type="dcterms:W3CDTF">2021-10-08T08:37:00Z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