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default" w:ascii="Times New Roman" w:eastAsia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eastAsia="方正小标宋_GBK"/>
          <w:b w:val="0"/>
          <w:bCs w:val="0"/>
          <w:sz w:val="44"/>
          <w:szCs w:val="44"/>
          <w:highlight w:val="none"/>
          <w:lang w:val="en-US" w:eastAsia="zh-CN"/>
        </w:rPr>
        <w:t>英语水平级别自评参考表</w:t>
      </w:r>
    </w:p>
    <w:p>
      <w:pPr>
        <w:snapToGrid w:val="0"/>
        <w:spacing w:line="560" w:lineRule="exact"/>
        <w:jc w:val="center"/>
        <w:rPr>
          <w:rFonts w:hint="default" w:ascii="Times New Roman" w:eastAsia="方正小标宋_GBK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7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808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英语掌握能力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972" w:type="dxa"/>
            <w:vAlign w:val="center"/>
          </w:tcPr>
          <w:p>
            <w:pPr>
              <w:pStyle w:val="2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A1</w:t>
            </w:r>
          </w:p>
        </w:tc>
        <w:tc>
          <w:tcPr>
            <w:tcW w:w="808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1.可以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介绍自己和他人，并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询问和回答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一些关于个人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细节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的问题，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如住在哪里、认识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的人和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所拥有的东西。</w:t>
            </w:r>
          </w:p>
          <w:p>
            <w:pPr>
              <w:pStyle w:val="2"/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2.在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对方讲话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缓慢清晰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且随时准备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帮助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情况下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，可以进行简单的聊天。</w:t>
            </w:r>
          </w:p>
          <w:p>
            <w:pPr>
              <w:pStyle w:val="2"/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能够理解和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使用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熟悉的日常表达及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非常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基本的词语来表达对某个具体事物的需求。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972" w:type="dxa"/>
            <w:vAlign w:val="center"/>
          </w:tcPr>
          <w:p>
            <w:pPr>
              <w:pStyle w:val="2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A2</w:t>
            </w:r>
          </w:p>
        </w:tc>
        <w:tc>
          <w:tcPr>
            <w:tcW w:w="8088" w:type="dxa"/>
            <w:vAlign w:val="center"/>
          </w:tcPr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可以对熟悉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日常事物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简单而直接的交流。</w:t>
            </w:r>
          </w:p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可以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简单描述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自己的背景、所处的直接环境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所接触的事物。</w:t>
            </w:r>
          </w:p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可以理解自己经常接触的话题的句子和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常用表达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例如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个人和家庭信息、购物、当地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lang w:val="en-US" w:eastAsia="zh-CN"/>
              </w:rPr>
              <w:t>地理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</w:rPr>
              <w:t>和工作等。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972" w:type="dxa"/>
            <w:vAlign w:val="center"/>
          </w:tcPr>
          <w:p>
            <w:pPr>
              <w:pStyle w:val="2"/>
              <w:widowControl/>
              <w:spacing w:line="23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B1</w:t>
            </w:r>
          </w:p>
        </w:tc>
        <w:tc>
          <w:tcPr>
            <w:tcW w:w="8088" w:type="dxa"/>
            <w:vAlign w:val="center"/>
          </w:tcPr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可以对自己熟悉或感兴趣的话题进行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较为详细准确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的表达。</w:t>
            </w:r>
          </w:p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2.可以理解在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工作、学校和休闲生活中经常碰到的熟悉的话题或事件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中表达清晰标准的要点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。</w:t>
            </w:r>
          </w:p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在英语国家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或地区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旅行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可以应对大部分场景下所发生的事情。</w:t>
            </w:r>
          </w:p>
          <w:p>
            <w:pPr>
              <w:pStyle w:val="2"/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可以描述经历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事件、梦境、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希望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抱负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，并对观点和计划给出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  <w:lang w:val="en-US" w:eastAsia="zh-CN"/>
              </w:rPr>
              <w:t>简要的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shd w:val="clear" w:fill="FFFFFF"/>
              </w:rPr>
              <w:t>理由与解释。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DBF8B26E-281A-4718-8CB2-6F5FF04F3E2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82AD32F-5E70-43D1-8623-240E8FD769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A31E633-04D3-426E-8A8B-5CC51FE384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14F9"/>
    <w:rsid w:val="4413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2022-03-29T08:20:00Z</dcterms:created>
  <dc:creator>序 言</dc:creator>
  <cp:lastModifiedBy>序 言</cp:lastModifiedBy>
  <dcterms:modified xsi:type="dcterms:W3CDTF">2022-03-29T08:20:11Z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B29D407686174555A7579CF1530256DC</vt:lpwstr>
  </property>
</Properties>
</file>