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52CF6" w14:textId="77777777" w:rsidR="00EF4BFE" w:rsidRDefault="00EF4BFE" w:rsidP="00EF4BFE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96A84F9" w14:textId="77777777" w:rsidR="00EF4BFE" w:rsidRDefault="00EF4BFE" w:rsidP="00EF4BFE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14:paraId="56BF2BF2" w14:textId="00C44CE8" w:rsidR="00EF4BFE" w:rsidRDefault="00EF4BFE" w:rsidP="00EF4BFE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2021年度全市公立医院与非公立医院满意度评分情况</w:t>
      </w:r>
    </w:p>
    <w:p w14:paraId="7F05D686" w14:textId="77777777" w:rsidR="00EF4BFE" w:rsidRDefault="00EF4BFE" w:rsidP="00EF4BFE">
      <w:pPr>
        <w:spacing w:line="58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5"/>
        <w:gridCol w:w="1455"/>
        <w:gridCol w:w="1267"/>
        <w:gridCol w:w="1200"/>
        <w:gridCol w:w="1125"/>
        <w:gridCol w:w="1290"/>
        <w:gridCol w:w="1103"/>
      </w:tblGrid>
      <w:tr w:rsidR="00EF4BFE" w14:paraId="2A0B636B" w14:textId="77777777" w:rsidTr="00AE4FDF">
        <w:trPr>
          <w:trHeight w:val="495"/>
          <w:jc w:val="center"/>
        </w:trPr>
        <w:tc>
          <w:tcPr>
            <w:tcW w:w="14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3DD4D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举办</w:t>
            </w:r>
          </w:p>
          <w:p w14:paraId="154D87F3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主体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538DD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门诊</w:t>
            </w:r>
          </w:p>
          <w:p w14:paraId="784349FA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14:paraId="4879F7E7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82AF8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门诊</w:t>
            </w:r>
          </w:p>
          <w:p w14:paraId="42051B99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59009C90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3344E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住院</w:t>
            </w:r>
          </w:p>
          <w:p w14:paraId="4F7A4EB4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14:paraId="222A3C57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98D21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住院</w:t>
            </w:r>
          </w:p>
          <w:p w14:paraId="0B87F552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79DB0574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D3BF5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总体</w:t>
            </w:r>
          </w:p>
          <w:p w14:paraId="13A219EC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满意率</w:t>
            </w:r>
          </w:p>
          <w:p w14:paraId="4CC92622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(%)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8D76B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总体</w:t>
            </w:r>
          </w:p>
          <w:p w14:paraId="42FD0162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满意度</w:t>
            </w:r>
          </w:p>
          <w:p w14:paraId="7F2ADA73" w14:textId="77777777" w:rsidR="00EF4BFE" w:rsidRDefault="00EF4BFE" w:rsidP="00AE4FDF">
            <w:pPr>
              <w:widowControl/>
              <w:spacing w:beforeLines="20" w:before="62" w:afterLines="20" w:after="62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（分）</w:t>
            </w:r>
          </w:p>
        </w:tc>
      </w:tr>
      <w:tr w:rsidR="00EF4BFE" w14:paraId="0A7F26FA" w14:textId="77777777" w:rsidTr="00AE4FDF">
        <w:trPr>
          <w:trHeight w:val="375"/>
          <w:jc w:val="center"/>
        </w:trPr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F1BA3E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公立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2A31C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94.3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B820B2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88.33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CB16FF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95.6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3DFACE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88.40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CBA1F0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95.2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106854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88.37</w:t>
            </w:r>
          </w:p>
        </w:tc>
      </w:tr>
      <w:tr w:rsidR="00EF4BFE" w14:paraId="680CBC8E" w14:textId="77777777" w:rsidTr="00AE4FDF">
        <w:trPr>
          <w:trHeight w:val="375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6EABC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非公立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804B0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89.1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BE56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83.70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C063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91.6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52F5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83.86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2554C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89.8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F2BB6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83.78</w:t>
            </w:r>
          </w:p>
        </w:tc>
      </w:tr>
      <w:tr w:rsidR="00EF4BFE" w14:paraId="21BDE95D" w14:textId="77777777" w:rsidTr="00AE4FDF">
        <w:trPr>
          <w:trHeight w:val="390"/>
          <w:jc w:val="center"/>
        </w:trPr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AA92D0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全市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CF1FBC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92.6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A0157E5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86.85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95DBE9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95.3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224CD2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88.03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EE9B93B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94.3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73D4F8" w14:textId="77777777" w:rsidR="00EF4BFE" w:rsidRDefault="00EF4BFE" w:rsidP="00AE4FDF">
            <w:pPr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87.44</w:t>
            </w:r>
          </w:p>
        </w:tc>
      </w:tr>
    </w:tbl>
    <w:p w14:paraId="0DAE6244" w14:textId="77777777" w:rsidR="00EF4BFE" w:rsidRDefault="00EF4BFE" w:rsidP="00EF4BFE">
      <w:pPr>
        <w:pStyle w:val="p0"/>
        <w:rPr>
          <w:rFonts w:ascii="宋体"/>
        </w:rPr>
      </w:pPr>
    </w:p>
    <w:p w14:paraId="75FC7722" w14:textId="77777777" w:rsidR="00EF4BFE" w:rsidRDefault="00EF4BFE" w:rsidP="00EF4BFE">
      <w:pPr>
        <w:pStyle w:val="p0"/>
        <w:rPr>
          <w:rFonts w:ascii="宋体"/>
        </w:rPr>
      </w:pPr>
    </w:p>
    <w:p w14:paraId="71734889" w14:textId="77777777" w:rsidR="00EF4BFE" w:rsidRDefault="00EF4BFE" w:rsidP="00EF4BFE">
      <w:pPr>
        <w:pStyle w:val="p0"/>
        <w:rPr>
          <w:rFonts w:ascii="宋体"/>
        </w:rPr>
      </w:pPr>
    </w:p>
    <w:p w14:paraId="6EB2B344" w14:textId="1A932F83" w:rsidR="00EF4BFE" w:rsidRDefault="00EF4BFE" w:rsidP="00EF4BFE">
      <w:pPr>
        <w:pStyle w:val="p0"/>
        <w:rPr>
          <w:rFonts w:ascii="宋体"/>
        </w:rPr>
      </w:pPr>
      <w:r>
        <w:rPr>
          <w:noProof/>
        </w:rPr>
        <w:drawing>
          <wp:inline distT="0" distB="0" distL="0" distR="0" wp14:anchorId="46BE3572" wp14:editId="7935A8A1">
            <wp:extent cx="5272405" cy="2844165"/>
            <wp:effectExtent l="0" t="0" r="0" b="0"/>
            <wp:docPr id="2" name="图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8942F83" w14:textId="77777777" w:rsidR="00EF4BFE" w:rsidRDefault="00EF4BFE" w:rsidP="00EF4BFE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</w:p>
    <w:p w14:paraId="47EF9F83" w14:textId="77777777" w:rsidR="00EF4BFE" w:rsidRDefault="00EF4BFE" w:rsidP="00EF4BFE">
      <w:pPr>
        <w:spacing w:beforeLines="50" w:before="156" w:line="360" w:lineRule="auto"/>
        <w:ind w:firstLineChars="200" w:firstLine="420"/>
        <w:jc w:val="center"/>
        <w:rPr>
          <w:rFonts w:ascii="宋体" w:hAnsi="宋体"/>
        </w:rPr>
      </w:pPr>
      <w:r>
        <w:rPr>
          <w:rFonts w:ascii="宋体" w:hAnsi="宋体" w:hint="eastAsia"/>
        </w:rPr>
        <w:t>图</w:t>
      </w:r>
      <w:r>
        <w:rPr>
          <w:rFonts w:ascii="宋体" w:hAnsi="宋体"/>
        </w:rPr>
        <w:t>2  202</w:t>
      </w:r>
      <w:r>
        <w:rPr>
          <w:rFonts w:ascii="宋体" w:hAnsi="宋体" w:hint="eastAsia"/>
        </w:rPr>
        <w:t>1年全市公立医院</w:t>
      </w:r>
      <w:r>
        <w:rPr>
          <w:rFonts w:ascii="宋体" w:hAnsi="宋体"/>
        </w:rPr>
        <w:t>与非公立</w:t>
      </w:r>
      <w:r>
        <w:rPr>
          <w:rFonts w:ascii="宋体" w:hAnsi="宋体" w:hint="eastAsia"/>
        </w:rPr>
        <w:t>医院患者满意度评分情况</w:t>
      </w:r>
    </w:p>
    <w:p w14:paraId="06F40DE6" w14:textId="77777777" w:rsidR="00891C5F" w:rsidRPr="00EF4BFE" w:rsidRDefault="00891C5F" w:rsidP="00EF4BFE"/>
    <w:sectPr w:rsidR="00891C5F" w:rsidRPr="00EF4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8"/>
    <w:rsid w:val="00891C5F"/>
    <w:rsid w:val="00C71E28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07BE"/>
  <w15:chartTrackingRefBased/>
  <w15:docId w15:val="{E17A3B2E-1D8B-4827-9A12-5E18872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F4BF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/home/jyzx/&#26700;&#38754;/&#28385;&#24847;&#24230;/2021/&#24180;&#24230;&#25253;&#21578;/&#22270;&#2663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[图标.xlsx]Sheet3!$A$20</c:f>
              <c:strCache>
                <c:ptCount val="1"/>
                <c:pt idx="0">
                  <c:v>2017年</c:v>
                </c:pt>
              </c:strCache>
            </c:strRef>
          </c:tx>
          <c:spPr>
            <a:gradFill rotWithShape="1">
              <a:gsLst>
                <a:gs pos="0">
                  <a:srgbClr val="6083CB">
                    <a:satMod val="103000"/>
                    <a:lumMod val="102000"/>
                    <a:tint val="94000"/>
                  </a:srgbClr>
                </a:gs>
                <a:gs pos="50000">
                  <a:srgbClr val="3E70CA">
                    <a:satMod val="110000"/>
                    <a:lumMod val="100000"/>
                    <a:shade val="100000"/>
                  </a:srgbClr>
                </a:gs>
                <a:gs pos="100000">
                  <a:srgbClr val="2E61BA">
                    <a:lumMod val="99000"/>
                    <a:satMod val="120000"/>
                    <a:shade val="78000"/>
                  </a:srgb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[图标.xlsx]Sheet3!$B$18:$D$18</c:f>
              <c:strCache>
                <c:ptCount val="3"/>
                <c:pt idx="0">
                  <c:v>公立</c:v>
                </c:pt>
                <c:pt idx="1">
                  <c:v>非公立</c:v>
                </c:pt>
                <c:pt idx="2">
                  <c:v>全市</c:v>
                </c:pt>
              </c:strCache>
            </c:strRef>
          </c:cat>
          <c:val>
            <c:numRef>
              <c:f>[图标.xlsx]Sheet3!$B$20:$D$20</c:f>
              <c:numCache>
                <c:formatCode>0.00</c:formatCode>
                <c:ptCount val="3"/>
                <c:pt idx="0">
                  <c:v>84.39</c:v>
                </c:pt>
                <c:pt idx="1">
                  <c:v>79.900000000000006</c:v>
                </c:pt>
                <c:pt idx="2">
                  <c:v>83.47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6E-41E0-8119-B166FB3A447A}"/>
            </c:ext>
          </c:extLst>
        </c:ser>
        <c:ser>
          <c:idx val="1"/>
          <c:order val="1"/>
          <c:tx>
            <c:strRef>
              <c:f>[图标.xlsx]Sheet3!$A$21</c:f>
              <c:strCache>
                <c:ptCount val="1"/>
                <c:pt idx="0">
                  <c:v>2018年</c:v>
                </c:pt>
              </c:strCache>
            </c:strRef>
          </c:tx>
          <c:spPr>
            <a:gradFill rotWithShape="1">
              <a:gsLst>
                <a:gs pos="0">
                  <a:srgbClr val="F18C55">
                    <a:satMod val="103000"/>
                    <a:lumMod val="102000"/>
                    <a:tint val="94000"/>
                  </a:srgbClr>
                </a:gs>
                <a:gs pos="50000">
                  <a:srgbClr val="F67B28">
                    <a:satMod val="110000"/>
                    <a:lumMod val="100000"/>
                    <a:shade val="100000"/>
                  </a:srgbClr>
                </a:gs>
                <a:gs pos="100000">
                  <a:srgbClr val="E56B17">
                    <a:lumMod val="99000"/>
                    <a:satMod val="120000"/>
                    <a:shade val="78000"/>
                  </a:srgb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[图标.xlsx]Sheet3!$B$18:$D$18</c:f>
              <c:strCache>
                <c:ptCount val="3"/>
                <c:pt idx="0">
                  <c:v>公立</c:v>
                </c:pt>
                <c:pt idx="1">
                  <c:v>非公立</c:v>
                </c:pt>
                <c:pt idx="2">
                  <c:v>全市</c:v>
                </c:pt>
              </c:strCache>
            </c:strRef>
          </c:cat>
          <c:val>
            <c:numRef>
              <c:f>[图标.xlsx]Sheet3!$B$21:$D$21</c:f>
              <c:numCache>
                <c:formatCode>0.00</c:formatCode>
                <c:ptCount val="3"/>
                <c:pt idx="0">
                  <c:v>86.89</c:v>
                </c:pt>
                <c:pt idx="1">
                  <c:v>81.790000000000006</c:v>
                </c:pt>
                <c:pt idx="2">
                  <c:v>85.92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6E-41E0-8119-B166FB3A447A}"/>
            </c:ext>
          </c:extLst>
        </c:ser>
        <c:ser>
          <c:idx val="2"/>
          <c:order val="2"/>
          <c:tx>
            <c:strRef>
              <c:f>[图标.xlsx]Sheet3!$A$22</c:f>
              <c:strCache>
                <c:ptCount val="1"/>
                <c:pt idx="0">
                  <c:v>2019年</c:v>
                </c:pt>
              </c:strCache>
            </c:strRef>
          </c:tx>
          <c:spPr>
            <a:gradFill rotWithShape="1">
              <a:gsLst>
                <a:gs pos="0">
                  <a:srgbClr val="AFAFAF">
                    <a:satMod val="103000"/>
                    <a:lumMod val="102000"/>
                    <a:tint val="94000"/>
                  </a:srgbClr>
                </a:gs>
                <a:gs pos="50000">
                  <a:srgbClr val="A5A5A5">
                    <a:satMod val="110000"/>
                    <a:lumMod val="100000"/>
                    <a:shade val="100000"/>
                  </a:srgbClr>
                </a:gs>
                <a:gs pos="100000">
                  <a:srgbClr val="929292">
                    <a:lumMod val="99000"/>
                    <a:satMod val="120000"/>
                    <a:shade val="78000"/>
                  </a:srgb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[图标.xlsx]Sheet3!$B$18:$D$18</c:f>
              <c:strCache>
                <c:ptCount val="3"/>
                <c:pt idx="0">
                  <c:v>公立</c:v>
                </c:pt>
                <c:pt idx="1">
                  <c:v>非公立</c:v>
                </c:pt>
                <c:pt idx="2">
                  <c:v>全市</c:v>
                </c:pt>
              </c:strCache>
            </c:strRef>
          </c:cat>
          <c:val>
            <c:numRef>
              <c:f>[图标.xlsx]Sheet3!$B$22:$D$22</c:f>
              <c:numCache>
                <c:formatCode>0.00</c:formatCode>
                <c:ptCount val="3"/>
                <c:pt idx="0">
                  <c:v>88.99</c:v>
                </c:pt>
                <c:pt idx="1">
                  <c:v>84.52</c:v>
                </c:pt>
                <c:pt idx="2">
                  <c:v>88.22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6E-41E0-8119-B166FB3A447A}"/>
            </c:ext>
          </c:extLst>
        </c:ser>
        <c:ser>
          <c:idx val="3"/>
          <c:order val="3"/>
          <c:tx>
            <c:strRef>
              <c:f>[图标.xlsx]Sheet3!$A$23</c:f>
              <c:strCache>
                <c:ptCount val="1"/>
                <c:pt idx="0">
                  <c:v>2020年</c:v>
                </c:pt>
              </c:strCache>
            </c:strRef>
          </c:tx>
          <c:spPr>
            <a:gradFill rotWithShape="1">
              <a:gsLst>
                <a:gs pos="0">
                  <a:srgbClr val="FFC746">
                    <a:satMod val="103000"/>
                    <a:lumMod val="102000"/>
                    <a:tint val="94000"/>
                  </a:srgbClr>
                </a:gs>
                <a:gs pos="50000">
                  <a:srgbClr val="FFC600">
                    <a:satMod val="110000"/>
                    <a:lumMod val="100000"/>
                    <a:shade val="100000"/>
                  </a:srgbClr>
                </a:gs>
                <a:gs pos="100000">
                  <a:srgbClr val="E5B600">
                    <a:lumMod val="99000"/>
                    <a:satMod val="120000"/>
                    <a:shade val="78000"/>
                  </a:srgb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[图标.xlsx]Sheet3!$B$18:$D$18</c:f>
              <c:strCache>
                <c:ptCount val="3"/>
                <c:pt idx="0">
                  <c:v>公立</c:v>
                </c:pt>
                <c:pt idx="1">
                  <c:v>非公立</c:v>
                </c:pt>
                <c:pt idx="2">
                  <c:v>全市</c:v>
                </c:pt>
              </c:strCache>
            </c:strRef>
          </c:cat>
          <c:val>
            <c:numRef>
              <c:f>[图标.xlsx]Sheet3!$B$23:$D$23</c:f>
              <c:numCache>
                <c:formatCode>0.00</c:formatCode>
                <c:ptCount val="3"/>
                <c:pt idx="0">
                  <c:v>88.96</c:v>
                </c:pt>
                <c:pt idx="1">
                  <c:v>83.78</c:v>
                </c:pt>
                <c:pt idx="2">
                  <c:v>88.14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6E-41E0-8119-B166FB3A447A}"/>
            </c:ext>
          </c:extLst>
        </c:ser>
        <c:ser>
          <c:idx val="4"/>
          <c:order val="4"/>
          <c:tx>
            <c:strRef>
              <c:f>[图标.xlsx]Sheet3!$A$24</c:f>
              <c:strCache>
                <c:ptCount val="1"/>
                <c:pt idx="0">
                  <c:v>2021年</c:v>
                </c:pt>
              </c:strCache>
            </c:strRef>
          </c:tx>
          <c:spPr>
            <a:gradFill rotWithShape="1">
              <a:gsLst>
                <a:gs pos="0">
                  <a:srgbClr val="71A6DB">
                    <a:satMod val="103000"/>
                    <a:lumMod val="102000"/>
                    <a:tint val="94000"/>
                  </a:srgbClr>
                </a:gs>
                <a:gs pos="50000">
                  <a:srgbClr val="559BDB">
                    <a:satMod val="110000"/>
                    <a:lumMod val="100000"/>
                    <a:shade val="100000"/>
                  </a:srgbClr>
                </a:gs>
                <a:gs pos="100000">
                  <a:srgbClr val="438AC9">
                    <a:lumMod val="99000"/>
                    <a:satMod val="120000"/>
                    <a:shade val="78000"/>
                  </a:srgb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404040">
                        <a:lumMod val="75000"/>
                        <a:lumOff val="25000"/>
                      </a:srgb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A6A6A6">
                          <a:lumMod val="35000"/>
                          <a:lumOff val="65000"/>
                        </a:srgb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[图标.xlsx]Sheet3!$B$18:$D$18</c:f>
              <c:strCache>
                <c:ptCount val="3"/>
                <c:pt idx="0">
                  <c:v>公立</c:v>
                </c:pt>
                <c:pt idx="1">
                  <c:v>非公立</c:v>
                </c:pt>
                <c:pt idx="2">
                  <c:v>全市</c:v>
                </c:pt>
              </c:strCache>
            </c:strRef>
          </c:cat>
          <c:val>
            <c:numRef>
              <c:f>[图标.xlsx]Sheet3!$B$24:$D$24</c:f>
              <c:numCache>
                <c:formatCode>0.00</c:formatCode>
                <c:ptCount val="3"/>
                <c:pt idx="0">
                  <c:v>88.37</c:v>
                </c:pt>
                <c:pt idx="1">
                  <c:v>83.78</c:v>
                </c:pt>
                <c:pt idx="2">
                  <c:v>87.44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6E-41E0-8119-B166FB3A44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46843896"/>
        <c:axId val="846842256"/>
      </c:barChart>
      <c:catAx>
        <c:axId val="846843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rgbClr val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46842256"/>
        <c:crosses val="autoZero"/>
        <c:auto val="1"/>
        <c:lblAlgn val="ctr"/>
        <c:lblOffset val="100"/>
        <c:noMultiLvlLbl val="0"/>
      </c:catAx>
      <c:valAx>
        <c:axId val="84684225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595959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46843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rgbClr val="595959">
                  <a:lumMod val="65000"/>
                  <a:lumOff val="35000"/>
                </a:srgb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rgbClr val="4472C4"/>
  <a:srgbClr val="ED7D31"/>
  <a:srgbClr val="A5A5A5"/>
  <a:srgbClr val="FFC000"/>
  <a:srgbClr val="5B9BD5"/>
  <a:srgbClr val="70AD47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axisTitle>
  <cs:categoryAxis>
    <cs:lnRef idx="0"/>
    <cs:fillRef idx="0"/>
    <cs:effectRef idx="0"/>
    <cs:fontRef idx="minor">
      <a:srgbClr val="595959">
        <a:lumMod val="65000"/>
        <a:lumOff val="35000"/>
      </a:srgbClr>
    </cs:fontRef>
    <cs:spPr>
      <a:ln w="12700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rgbClr val="44546A"/>
    </cs:fontRef>
    <cs:spPr>
      <a:solidFill>
        <a:srgbClr val="FFFFFF"/>
      </a:solidFill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chartArea>
  <cs:dataLabel>
    <cs:lnRef idx="0"/>
    <cs:fillRef idx="0"/>
    <cs:effectRef idx="0"/>
    <cs:fontRef idx="minor">
      <a:srgbClr val="404040">
        <a:lumMod val="75000"/>
        <a:lumOff val="25000"/>
      </a:srgbClr>
    </cs:fontRef>
    <cs:defRPr sz="900" kern="1200"/>
  </cs:dataLabel>
  <cs:dataLabelCallout>
    <cs:lnRef idx="0"/>
    <cs:fillRef idx="0"/>
    <cs:effectRef idx="0"/>
    <cs:fontRef idx="minor">
      <a:srgbClr val="595959">
        <a:lumMod val="65000"/>
        <a:lumOff val="35000"/>
      </a:srgbClr>
    </cs:fontRef>
    <cs:spPr>
      <a:solidFill>
        <a:srgbClr val="FFFFFF"/>
      </a:solidFill>
      <a:ln>
        <a:solidFill>
          <a:srgbClr val="BFBFBF">
            <a:lumMod val="25000"/>
            <a:lumOff val="75000"/>
          </a:srgb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rgbClr val="FFFFFF"/>
    </cs:fontRef>
  </cs:dataPoint>
  <cs:dataPoint3D>
    <cs:lnRef idx="0"/>
    <cs:fillRef idx="3">
      <cs:styleClr val="auto"/>
    </cs:fillRef>
    <cs:effectRef idx="3"/>
    <cs:fontRef idx="minor">
      <a:srgbClr val="FFFFFF"/>
    </cs:fontRef>
  </cs:dataPoint3D>
  <cs:dataPointLine>
    <cs:lnRef idx="0">
      <cs:styleClr val="auto"/>
    </cs:lnRef>
    <cs:fillRef idx="3"/>
    <cs:effectRef idx="3"/>
    <cs:fontRef idx="minor">
      <a:srgbClr val="FFFFFF"/>
    </cs:fontRef>
    <cs:spPr>
      <a:ln w="34925" cap="rnd">
        <a:solidFill>
          <a:srgbClr val="FFFFFF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rgbClr val="FFFFFF"/>
    </cs:fontRef>
    <cs:spPr>
      <a:ln w="9525">
        <a:solidFill>
          <a:srgbClr val="FFFFFF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rgbClr val="FFFFFF"/>
    </cs:fontRef>
    <cs:spPr>
      <a:ln w="9525" cap="rnd">
        <a:solidFill>
          <a:srgbClr val="FFFFFF"/>
        </a:solidFill>
        <a:round/>
      </a:ln>
    </cs:spPr>
  </cs:dataPointWireframe>
  <cs:dataTable>
    <cs:lnRef idx="0"/>
    <cs:fillRef idx="0"/>
    <cs:effectRef idx="0"/>
    <cs:fontRef idx="minor">
      <a:srgbClr val="595959">
        <a:lumMod val="65000"/>
        <a:lumOff val="35000"/>
      </a:srgbClr>
    </cs:fontRef>
    <cs:spPr>
      <a:noFill/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dataTable>
  <cs:downBar>
    <cs:lnRef idx="0"/>
    <cs:fillRef idx="0"/>
    <cs:effectRef idx="0"/>
    <cs:fontRef idx="minor">
      <a:srgbClr val="000000"/>
    </cs:fontRef>
    <cs:spPr>
      <a:solidFill>
        <a:srgbClr val="595959">
          <a:lumMod val="65000"/>
          <a:lumOff val="35000"/>
        </a:srgbClr>
      </a:solidFill>
      <a:ln w="9525">
        <a:solidFill>
          <a:srgbClr val="595959">
            <a:lumMod val="65000"/>
            <a:lumOff val="35000"/>
          </a:srgbClr>
        </a:solidFill>
      </a:ln>
    </cs:spPr>
  </cs:downBar>
  <cs:drop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dropLine>
  <cs:errorBar>
    <cs:lnRef idx="0"/>
    <cs:fillRef idx="0"/>
    <cs:effectRef idx="0"/>
    <cs:fontRef idx="minor">
      <a:srgbClr val="000000"/>
    </cs:fontRef>
    <cs:spPr>
      <a:ln w="9525" cap="flat" cmpd="sng" algn="ctr">
        <a:solidFill>
          <a:srgbClr val="595959">
            <a:lumMod val="65000"/>
            <a:lumOff val="35000"/>
          </a:srgbClr>
        </a:solidFill>
        <a:round/>
      </a:ln>
    </cs:spPr>
  </cs:errorBar>
  <cs:floor>
    <cs:lnRef idx="0"/>
    <cs:fillRef idx="0"/>
    <cs:effectRef idx="0"/>
    <cs:fontRef idx="minor">
      <a:srgbClr val="FFFFFF"/>
    </cs:fontRef>
  </cs:floor>
  <cs:gridlineMajor>
    <cs:lnRef idx="0"/>
    <cs:fillRef idx="0"/>
    <cs:effectRef idx="0"/>
    <cs:fontRef idx="minor">
      <a:srgbClr val="000000"/>
    </cs:fontRef>
    <cs:spPr>
      <a:ln w="9525" cap="flat" cmpd="sng" algn="ctr">
        <a:solidFill>
          <a:srgbClr val="D9D9D9">
            <a:lumMod val="15000"/>
            <a:lumOff val="85000"/>
          </a:srgbClr>
        </a:solidFill>
        <a:round/>
      </a:ln>
    </cs:spPr>
  </cs:gridlineMajor>
  <cs:gridlineMinor>
    <cs:lnRef idx="0"/>
    <cs:fillRef idx="0"/>
    <cs:effectRef idx="0"/>
    <cs:fontRef idx="minor">
      <a:srgbClr val="000000"/>
    </cs:fontRef>
    <cs:spPr>
      <a:ln w="9525" cap="flat" cmpd="sng" algn="ctr">
        <a:solidFill>
          <a:srgbClr val="F2F2F2">
            <a:lumMod val="5000"/>
            <a:lumOff val="95000"/>
          </a:srgbClr>
        </a:solidFill>
        <a:round/>
      </a:ln>
    </cs:spPr>
  </cs:gridlineMinor>
  <cs:hiLo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404040">
            <a:lumMod val="75000"/>
            <a:lumOff val="25000"/>
          </a:srgbClr>
        </a:solidFill>
        <a:round/>
      </a:ln>
    </cs:spPr>
  </cs:hiLoLine>
  <cs:leader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leaderLine>
  <cs:legend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legend>
  <cs:plotArea>
    <cs:lnRef idx="0"/>
    <cs:fillRef idx="0"/>
    <cs:effectRef idx="0"/>
    <cs:fontRef idx="minor">
      <a:srgbClr val="FFFFFF"/>
    </cs:fontRef>
  </cs:plotArea>
  <cs:plotArea3D>
    <cs:lnRef idx="0"/>
    <cs:fillRef idx="0"/>
    <cs:effectRef idx="0"/>
    <cs:fontRef idx="minor">
      <a:srgbClr val="FFFFFF"/>
    </cs:fontRef>
  </cs:plotArea3D>
  <cs:seriesAxis>
    <cs:lnRef idx="0"/>
    <cs:fillRef idx="0"/>
    <cs:effectRef idx="0"/>
    <cs:fontRef idx="minor">
      <a:srgbClr val="595959">
        <a:lumMod val="65000"/>
        <a:lumOff val="35000"/>
      </a:srgbClr>
    </cs:fontRef>
    <cs:spPr>
      <a:ln w="12700" cap="flat" cmpd="sng" algn="ctr">
        <a:solidFill>
          <a:srgbClr val="D9D9D9">
            <a:lumMod val="15000"/>
            <a:lumOff val="85000"/>
          </a:srgbClr>
        </a:solidFill>
        <a:round/>
      </a:ln>
    </cs:spPr>
    <cs:defRPr sz="900" kern="1200"/>
  </cs:seriesAxis>
  <cs:seriesLine>
    <cs:lnRef idx="0"/>
    <cs:fillRef idx="0"/>
    <cs:effectRef idx="0"/>
    <cs:fontRef idx="minor">
      <a:srgbClr val="000000"/>
    </cs:fontRef>
    <cs:spPr>
      <a:ln w="9525" cap="flat" cmpd="sng" algn="ctr">
        <a:solidFill>
          <a:srgbClr val="A6A6A6">
            <a:lumMod val="35000"/>
            <a:lumOff val="65000"/>
          </a:srgbClr>
        </a:solidFill>
        <a:round/>
      </a:ln>
    </cs:spPr>
  </cs:seriesLine>
  <cs:title>
    <cs:lnRef idx="0"/>
    <cs:fillRef idx="0"/>
    <cs:effectRef idx="0"/>
    <cs:fontRef idx="minor">
      <a:srgbClr val="595959">
        <a:lumMod val="65000"/>
        <a:lumOff val="35000"/>
      </a:srgbClr>
    </cs:fontRef>
    <cs:defRPr sz="1600" b="1" kern="1200" baseline="0"/>
  </cs:title>
  <cs:trendline>
    <cs:lnRef idx="0">
      <cs:styleClr val="auto"/>
    </cs:lnRef>
    <cs:fillRef idx="0"/>
    <cs:effectRef idx="0"/>
    <cs:fontRef idx="minor">
      <a:srgbClr val="FFFFFF"/>
    </cs:fontRef>
    <cs:spPr>
      <a:ln w="19050" cap="rnd">
        <a:solidFill>
          <a:srgbClr val="FFFFFF"/>
        </a:solidFill>
      </a:ln>
    </cs:spPr>
  </cs:trendline>
  <cs:trendlineLabel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trendlineLabel>
  <cs:upBar>
    <cs:lnRef idx="0"/>
    <cs:fillRef idx="0"/>
    <cs:effectRef idx="0"/>
    <cs:fontRef idx="minor">
      <a:srgbClr val="000000"/>
    </cs:fontRef>
    <cs:spPr>
      <a:solidFill>
        <a:srgbClr val="FFFFFF"/>
      </a:solidFill>
      <a:ln w="9525">
        <a:solidFill>
          <a:srgbClr val="D9D9D9">
            <a:lumMod val="15000"/>
            <a:lumOff val="85000"/>
          </a:srgbClr>
        </a:solidFill>
      </a:ln>
    </cs:spPr>
  </cs:upBar>
  <cs:valueAxis>
    <cs:lnRef idx="0"/>
    <cs:fillRef idx="0"/>
    <cs:effectRef idx="0"/>
    <cs:fontRef idx="minor">
      <a:srgbClr val="595959">
        <a:lumMod val="65000"/>
        <a:lumOff val="35000"/>
      </a:srgbClr>
    </cs:fontRef>
    <cs:defRPr sz="900" kern="1200"/>
  </cs:valueAxis>
  <cs:wall>
    <cs:lnRef idx="0"/>
    <cs:fillRef idx="0"/>
    <cs:effectRef idx="0"/>
    <cs:fontRef idx="minor">
      <a:srgbClr val="FFFFFF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2022-06-15T02:58:00Z</dcterms:created>
  <dcterms:modified xsi:type="dcterms:W3CDTF">2022-06-15T02:58:00Z</dcterms:modified>
</cp:coreProperties>
</file>