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jc w:val="center"/>
        <w:rPr>
          <w:rFonts w:hint="eastAsia"/>
          <w:b/>
          <w:bCs/>
          <w:sz w:val="32"/>
          <w:szCs w:val="32"/>
        </w:rPr>
      </w:pPr>
      <w:r>
        <w:rPr>
          <w:rFonts w:hint="eastAsia"/>
          <w:b/>
          <w:bCs/>
          <w:sz w:val="32"/>
          <w:szCs w:val="32"/>
        </w:rPr>
        <w:t>深圳市应急指挥系统（卫生健康）安全隐患排查管理模块</w:t>
      </w:r>
    </w:p>
    <w:p>
      <w:pPr>
        <w:pStyle w:val="14"/>
        <w:ind w:firstLine="0" w:firstLineChars="0"/>
        <w:jc w:val="center"/>
        <w:rPr>
          <w:b/>
          <w:bCs/>
          <w:sz w:val="32"/>
          <w:szCs w:val="32"/>
        </w:rPr>
      </w:pPr>
      <w:bookmarkStart w:id="8" w:name="_GoBack"/>
      <w:bookmarkEnd w:id="8"/>
      <w:r>
        <w:rPr>
          <w:rFonts w:hint="eastAsia"/>
          <w:b/>
          <w:bCs/>
          <w:sz w:val="32"/>
          <w:szCs w:val="32"/>
        </w:rPr>
        <w:t>采购需求</w:t>
      </w:r>
    </w:p>
    <w:p>
      <w:pPr>
        <w:pStyle w:val="13"/>
        <w:spacing w:line="360" w:lineRule="auto"/>
        <w:outlineLvl w:val="9"/>
        <w:rPr>
          <w:rFonts w:ascii="宋体" w:hAnsi="宋体" w:eastAsia="宋体" w:cs="宋体"/>
        </w:rPr>
      </w:pPr>
      <w:r>
        <w:rPr>
          <w:rFonts w:hint="eastAsia" w:ascii="宋体" w:hAnsi="宋体" w:eastAsia="宋体" w:cs="宋体"/>
          <w:lang w:eastAsia="zh-Hans"/>
        </w:rPr>
        <w:t>一</w:t>
      </w:r>
      <w:r>
        <w:rPr>
          <w:rFonts w:ascii="宋体" w:hAnsi="宋体" w:eastAsia="宋体" w:cs="宋体"/>
          <w:lang w:eastAsia="zh-Hans"/>
        </w:rPr>
        <w:t>、</w:t>
      </w:r>
      <w:r>
        <w:rPr>
          <w:rFonts w:hint="eastAsia" w:ascii="宋体" w:hAnsi="宋体" w:eastAsia="宋体" w:cs="宋体"/>
        </w:rPr>
        <w:t>项目背景</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根据《中华人民共和国安全生产法》《中华人民共和国消防法》《消防安全责任制实施办法》《广东省应急管理厅关于安全风险分级管控办法（试行）》《深圳市安全风险管控暂行办法》《深圳经济特区安全生产监督管理条例》等法律法规和《广东省关于推进安全生产领域改革发展实施意见》（粤发〔2017〕16号）、《关于推进安全生产领域改革发展的实施意见》（深发〔2017〕25号）、《深圳市党政领导干部安全生产职责规定》等文件要求，深圳市卫生健康委员会应履行相关职责，建立安全生产风险评估和分类分级管理机制，定期对本行业、本领域安全生产风险进行评估，实施重大安全生产风险监测预警，对不同等级的风险点、危险源实施差别化监管。各单位建立健全全员安全生产责任制，全面提高医疗卫生机构的安全管理能力和水平。</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近期国内北京长峰医院“4·18”重大火灾事故造成29人死亡、银川“6·21”燃气爆炸事故造成31人死亡，重庆多地遭受暴雨袭击引发洪涝和地质灾害因灾死亡15人，失踪4人。多起重大事故以及汛期灾情教训极其沉痛。医疗机构结构复杂，涵盖消防系统、电力系统、热源系统、燃气系统、医用气体系统、给排水系统、电梯系统、制冷及空调系统等各具特殊性工作单元，决定了卫生健康系统存在较多风险点、危险源，同时叠加医疗机构人员密集、人员特殊等特点，安全生产形势严峻复杂，安全生产工作压力巨大。</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经委领导同意，应急办拟采取委托第三方专业机构对我委直接管理单位进行全覆盖的风险全面核查及专项例行检查，同时，在原有的“深圳市应急指挥系统（卫生健康）”系统基础上，拟增设“安全隐患排查管理模块”，全面系统辨识医疗机构风险点危险源，制定相应管控措施并核查其落实情况，进一步压实各单位主体责任，强化我市医疗机构安全生产工作，切实提升我委“管行业必须管安全”质量和水平。</w:t>
      </w:r>
    </w:p>
    <w:p>
      <w:pPr>
        <w:pStyle w:val="13"/>
        <w:numPr>
          <w:ilvl w:val="0"/>
          <w:numId w:val="2"/>
        </w:numPr>
        <w:spacing w:line="360" w:lineRule="auto"/>
        <w:outlineLvl w:val="9"/>
        <w:rPr>
          <w:rFonts w:ascii="宋体" w:hAnsi="宋体" w:eastAsia="宋体" w:cs="宋体"/>
        </w:rPr>
      </w:pPr>
      <w:bookmarkStart w:id="0" w:name="_Toc452974862"/>
      <w:bookmarkStart w:id="1" w:name="_Toc6533"/>
      <w:r>
        <w:rPr>
          <w:rFonts w:hint="eastAsia" w:ascii="宋体" w:hAnsi="宋体" w:eastAsia="宋体" w:cs="宋体"/>
        </w:rPr>
        <w:t>项目</w:t>
      </w:r>
      <w:bookmarkEnd w:id="0"/>
      <w:r>
        <w:rPr>
          <w:rFonts w:hint="eastAsia" w:ascii="宋体" w:hAnsi="宋体" w:eastAsia="宋体" w:cs="宋体"/>
        </w:rPr>
        <w:t>目标</w:t>
      </w:r>
      <w:bookmarkEnd w:id="1"/>
    </w:p>
    <w:p>
      <w:pPr>
        <w:widowControl/>
        <w:spacing w:line="360" w:lineRule="auto"/>
        <w:ind w:firstLine="480" w:firstLineChars="200"/>
        <w:textAlignment w:val="center"/>
      </w:pPr>
      <w:r>
        <w:rPr>
          <w:rFonts w:hint="eastAsia" w:ascii="宋体" w:hAnsi="宋体" w:cs="Arial"/>
          <w:kern w:val="0"/>
          <w:sz w:val="24"/>
        </w:rPr>
        <w:t>对我市医疗机构进行全面的风险隐患辨识、风险隐患数据采集、分析（风险全面核查覆盖率100%），按照不同评价单元、具体风险点、危险源进行极端风险辨识，建立风险数据清单，组织专业人员制定管控措施，确定风险等级；各医疗机构按照要求定期开展风险隐患排查，并对风险隐患数据采集的内容进行记录，履行安全生产职责，有效管控风险，减少或杜绝事故发生。</w:t>
      </w:r>
      <w:bookmarkStart w:id="2" w:name="_Toc365278217"/>
      <w:bookmarkEnd w:id="2"/>
      <w:bookmarkStart w:id="3" w:name="_Toc372367956"/>
      <w:bookmarkEnd w:id="3"/>
    </w:p>
    <w:p>
      <w:pPr>
        <w:pStyle w:val="13"/>
        <w:numPr>
          <w:ilvl w:val="0"/>
          <w:numId w:val="2"/>
        </w:numPr>
        <w:spacing w:line="360" w:lineRule="auto"/>
        <w:outlineLvl w:val="9"/>
        <w:rPr>
          <w:rFonts w:ascii="宋体" w:hAnsi="宋体" w:eastAsia="宋体" w:cs="宋体"/>
        </w:rPr>
      </w:pPr>
      <w:r>
        <w:rPr>
          <w:rFonts w:hint="eastAsia" w:ascii="宋体" w:hAnsi="宋体" w:eastAsia="宋体" w:cs="宋体"/>
        </w:rPr>
        <w:t>项目工作范围</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基于《医疗机构消防安全管理九项规定》的要求，重点实现1、对所有排查出来的隐患进行电子化信息数据管理，标注风险等级，明确隐患整改建议及措施，标注隐患违反的法规，以及整改期限。2、实现隐患库数据的动态管理，排查出的隐患如有新增，就加入隐患目录；排除后，就移入到历史库。 3、实现隐患控制措施的信息数据管理。每一个隐患对应一个安全生产的控制措施，消除隐患时可查询相关的控制措施，由具体责任人在履行职责落实控制措施时，需要进行实证资料上传。</w:t>
      </w:r>
    </w:p>
    <w:p>
      <w:pPr>
        <w:pStyle w:val="13"/>
        <w:numPr>
          <w:ilvl w:val="0"/>
          <w:numId w:val="2"/>
        </w:numPr>
        <w:spacing w:line="360" w:lineRule="auto"/>
        <w:outlineLvl w:val="9"/>
        <w:rPr>
          <w:rFonts w:ascii="宋体" w:hAnsi="宋体" w:eastAsia="宋体" w:cs="宋体"/>
        </w:rPr>
      </w:pPr>
      <w:bookmarkStart w:id="4" w:name="_Toc28322"/>
      <w:r>
        <w:rPr>
          <w:rFonts w:hint="eastAsia" w:ascii="宋体" w:hAnsi="宋体" w:eastAsia="宋体" w:cs="宋体"/>
        </w:rPr>
        <w:t>工作内容及要求</w:t>
      </w:r>
      <w:bookmarkEnd w:id="4"/>
      <w:bookmarkStart w:id="5" w:name="_Toc323653698"/>
      <w:bookmarkEnd w:id="5"/>
      <w:bookmarkStart w:id="6" w:name="_Toc323653694"/>
      <w:bookmarkEnd w:id="6"/>
      <w:bookmarkStart w:id="7" w:name="_Toc31432"/>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规范全市医疗卫生机构安全隐患排查的不同系统及场所类型的检查数据，记录隐患数据的详细内容及整改情况，达到安全隐患控制措施的信息数据管理。实现以下内容：</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1、隐患数据检查标准建立：建立风险隐患数据库；形成消防安全隐患信息档案和台账，形成风险隐患目录，对所有排查出来的隐患进行电子化信息管理。</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2、</w:t>
      </w:r>
      <w:r>
        <w:rPr>
          <w:rFonts w:hint="eastAsia" w:ascii="宋体" w:hAnsi="宋体" w:cs="Arial"/>
          <w:kern w:val="0"/>
          <w:sz w:val="24"/>
        </w:rPr>
        <w:t>隐患数据动态管理：对各医疗机构安全风险隐患点进行动态数据管理，标注风险等级，可对隐患内容进行分类，分级。</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3、</w:t>
      </w:r>
      <w:r>
        <w:rPr>
          <w:rFonts w:hint="eastAsia" w:ascii="宋体" w:hAnsi="宋体" w:cs="Arial"/>
          <w:kern w:val="0"/>
          <w:sz w:val="24"/>
        </w:rPr>
        <w:t>排查人员数据管理：实现隐患排查部门、人员、专家的数据信息管理，各机构维护本机构的隐患排查人员的数据信息。</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4、</w:t>
      </w:r>
      <w:r>
        <w:rPr>
          <w:rFonts w:hint="eastAsia" w:ascii="宋体" w:hAnsi="宋体" w:cs="Arial"/>
          <w:kern w:val="0"/>
          <w:sz w:val="24"/>
        </w:rPr>
        <w:t>隐患整改措施数据记录：明确隐患整改建议及措施，标注隐患违反的法规，以及整改期限，每一个隐患对应一个安全生产的控制措施。实现风险隐患对应整改措施数据的查询及处理，满足隐患治理的报告、登记、整改、销号等闭环管理，确保整改责任、措施、期限和应急预案的落实。</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5、督导与记录数据存储：提供日常巡查并填写记录表；突出重点巡查，记录违章数据情况；消除隐患时可查询相关的控制措施，具体人员在履行职责落实控制措施时，需要上传相关现场实证资料数据。</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6、</w:t>
      </w:r>
      <w:r>
        <w:rPr>
          <w:rFonts w:hint="eastAsia" w:ascii="宋体" w:hAnsi="宋体" w:cs="Arial"/>
          <w:kern w:val="0"/>
          <w:sz w:val="24"/>
        </w:rPr>
        <w:t>数据统计分析：实现相关机构安全隐患检查数据及相关整改数据的查询统计分析。</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7、</w:t>
      </w:r>
      <w:r>
        <w:rPr>
          <w:rFonts w:hint="eastAsia" w:ascii="宋体" w:hAnsi="宋体" w:cs="Arial"/>
          <w:kern w:val="0"/>
          <w:sz w:val="24"/>
        </w:rPr>
        <w:t>依据参考数据查询：实现相关安全隐患措施相关的法律依据、规范等内容的维护及关联，方便查询。</w:t>
      </w:r>
    </w:p>
    <w:p>
      <w:pPr>
        <w:pStyle w:val="13"/>
        <w:numPr>
          <w:ilvl w:val="0"/>
          <w:numId w:val="2"/>
        </w:numPr>
        <w:spacing w:line="360" w:lineRule="auto"/>
        <w:outlineLvl w:val="9"/>
        <w:rPr>
          <w:rFonts w:ascii="宋体" w:hAnsi="宋体" w:eastAsia="宋体" w:cs="宋体"/>
        </w:rPr>
      </w:pPr>
      <w:r>
        <w:rPr>
          <w:rFonts w:hint="eastAsia" w:ascii="宋体" w:hAnsi="宋体" w:eastAsia="宋体" w:cs="宋体"/>
        </w:rPr>
        <w:t>服务其它要求</w:t>
      </w:r>
      <w:bookmarkEnd w:id="7"/>
    </w:p>
    <w:p>
      <w:pPr>
        <w:pStyle w:val="14"/>
      </w:pPr>
      <w:r>
        <w:rPr>
          <w:rFonts w:hint="eastAsia"/>
        </w:rPr>
        <w:t>（一）资金预算</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44"/>
        <w:gridCol w:w="1275"/>
        <w:gridCol w:w="971"/>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pStyle w:val="14"/>
              <w:ind w:firstLine="0" w:firstLineChars="0"/>
            </w:pPr>
            <w:r>
              <w:rPr>
                <w:rFonts w:ascii="宋体" w:hAnsi="宋体" w:cs="Arial"/>
                <w:b/>
              </w:rPr>
              <w:t>序号</w:t>
            </w:r>
          </w:p>
        </w:tc>
        <w:tc>
          <w:tcPr>
            <w:tcW w:w="3544" w:type="dxa"/>
            <w:vAlign w:val="center"/>
          </w:tcPr>
          <w:p>
            <w:pPr>
              <w:pStyle w:val="14"/>
              <w:ind w:firstLine="0" w:firstLineChars="0"/>
            </w:pPr>
            <w:r>
              <w:rPr>
                <w:rFonts w:hint="eastAsia" w:ascii="宋体" w:hAnsi="宋体" w:cs="Arial"/>
                <w:b/>
              </w:rPr>
              <w:t>项目</w:t>
            </w:r>
            <w:r>
              <w:rPr>
                <w:rFonts w:ascii="宋体" w:hAnsi="宋体" w:cs="Arial"/>
                <w:b/>
              </w:rPr>
              <w:t>名称</w:t>
            </w:r>
          </w:p>
        </w:tc>
        <w:tc>
          <w:tcPr>
            <w:tcW w:w="1275" w:type="dxa"/>
            <w:vAlign w:val="center"/>
          </w:tcPr>
          <w:p>
            <w:pPr>
              <w:pStyle w:val="14"/>
              <w:ind w:firstLine="0" w:firstLineChars="0"/>
            </w:pPr>
            <w:r>
              <w:rPr>
                <w:rFonts w:hint="eastAsia" w:ascii="宋体" w:hAnsi="宋体" w:cs="Arial"/>
                <w:b/>
              </w:rPr>
              <w:t>单价（元）</w:t>
            </w:r>
          </w:p>
        </w:tc>
        <w:tc>
          <w:tcPr>
            <w:tcW w:w="971" w:type="dxa"/>
            <w:vAlign w:val="center"/>
          </w:tcPr>
          <w:p>
            <w:pPr>
              <w:pStyle w:val="14"/>
              <w:ind w:firstLine="0" w:firstLineChars="0"/>
            </w:pPr>
            <w:r>
              <w:rPr>
                <w:rFonts w:hint="eastAsia" w:ascii="宋体" w:hAnsi="宋体" w:cs="Arial"/>
                <w:b/>
              </w:rPr>
              <w:t>数量</w:t>
            </w:r>
          </w:p>
        </w:tc>
        <w:tc>
          <w:tcPr>
            <w:tcW w:w="1660" w:type="dxa"/>
            <w:vAlign w:val="center"/>
          </w:tcPr>
          <w:p>
            <w:pPr>
              <w:pStyle w:val="14"/>
              <w:ind w:firstLine="0" w:firstLineChars="0"/>
            </w:pPr>
            <w:r>
              <w:rPr>
                <w:rFonts w:hint="eastAsia" w:ascii="宋体" w:hAnsi="宋体" w:cs="Arial"/>
                <w:b/>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4"/>
              <w:ind w:firstLine="0" w:firstLineChars="0"/>
              <w:rPr>
                <w:rFonts w:ascii="宋体" w:hAnsi="宋体" w:cs="Arial"/>
                <w:b/>
              </w:rPr>
            </w:pPr>
            <w:r>
              <w:rPr>
                <w:rFonts w:hint="eastAsia" w:ascii="宋体" w:hAnsi="宋体" w:cs="Arial"/>
                <w:b/>
              </w:rPr>
              <w:t>1</w:t>
            </w:r>
          </w:p>
        </w:tc>
        <w:tc>
          <w:tcPr>
            <w:tcW w:w="3544" w:type="dxa"/>
            <w:vAlign w:val="center"/>
          </w:tcPr>
          <w:p>
            <w:pPr>
              <w:pStyle w:val="14"/>
              <w:ind w:firstLine="0" w:firstLineChars="0"/>
              <w:rPr>
                <w:rFonts w:ascii="宋体" w:hAnsi="宋体" w:cs="Arial"/>
                <w:b/>
              </w:rPr>
            </w:pPr>
            <w:r>
              <w:rPr>
                <w:rFonts w:hint="eastAsia"/>
              </w:rPr>
              <w:t>-深圳市应急指挥系统（卫生健康）安全隐患排查管理模块</w:t>
            </w:r>
          </w:p>
        </w:tc>
        <w:tc>
          <w:tcPr>
            <w:tcW w:w="1275" w:type="dxa"/>
            <w:vAlign w:val="center"/>
          </w:tcPr>
          <w:p>
            <w:pPr>
              <w:pStyle w:val="14"/>
              <w:ind w:firstLine="0" w:firstLineChars="0"/>
              <w:rPr>
                <w:rFonts w:ascii="宋体" w:hAnsi="宋体" w:cs="Arial"/>
                <w:b/>
              </w:rPr>
            </w:pPr>
            <w:r>
              <w:rPr>
                <w:rFonts w:ascii="宋体" w:hAnsi="宋体"/>
                <w:b/>
              </w:rPr>
              <w:t>198000</w:t>
            </w:r>
            <w:r>
              <w:rPr>
                <w:rFonts w:hint="eastAsia" w:ascii="宋体" w:hAnsi="宋体" w:cs="Arial"/>
                <w:b/>
              </w:rPr>
              <w:t xml:space="preserve"> </w:t>
            </w:r>
          </w:p>
        </w:tc>
        <w:tc>
          <w:tcPr>
            <w:tcW w:w="971" w:type="dxa"/>
            <w:vAlign w:val="center"/>
          </w:tcPr>
          <w:p>
            <w:pPr>
              <w:pStyle w:val="14"/>
              <w:ind w:firstLine="0" w:firstLineChars="0"/>
              <w:rPr>
                <w:rFonts w:ascii="宋体" w:hAnsi="宋体" w:cs="Arial"/>
                <w:b/>
              </w:rPr>
            </w:pPr>
            <w:r>
              <w:rPr>
                <w:rFonts w:hint="eastAsia" w:ascii="宋体" w:hAnsi="宋体" w:cs="Arial"/>
                <w:b/>
              </w:rPr>
              <w:t>1</w:t>
            </w:r>
          </w:p>
        </w:tc>
        <w:tc>
          <w:tcPr>
            <w:tcW w:w="1660" w:type="dxa"/>
            <w:vAlign w:val="center"/>
          </w:tcPr>
          <w:p>
            <w:pPr>
              <w:pStyle w:val="14"/>
              <w:ind w:firstLine="0" w:firstLineChars="0"/>
              <w:rPr>
                <w:rFonts w:ascii="宋体" w:hAnsi="宋体" w:cs="Arial"/>
                <w:b/>
              </w:rPr>
            </w:pPr>
            <w:r>
              <w:rPr>
                <w:rFonts w:ascii="宋体" w:hAnsi="宋体"/>
                <w:b/>
              </w:rPr>
              <w:t>198000.00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pPr>
              <w:autoSpaceDE w:val="0"/>
              <w:autoSpaceDN w:val="0"/>
              <w:adjustRightInd w:val="0"/>
              <w:rPr>
                <w:b/>
                <w:sz w:val="28"/>
                <w:szCs w:val="28"/>
                <w:u w:val="single"/>
              </w:rPr>
            </w:pPr>
            <w:r>
              <w:rPr>
                <w:rFonts w:hint="eastAsia"/>
                <w:b/>
                <w:sz w:val="28"/>
                <w:szCs w:val="28"/>
              </w:rPr>
              <w:t>服务期：</w:t>
            </w:r>
            <w:r>
              <w:rPr>
                <w:rFonts w:hint="eastAsia"/>
                <w:b/>
                <w:sz w:val="28"/>
                <w:szCs w:val="28"/>
                <w:lang w:eastAsia="zh-Hans"/>
              </w:rPr>
              <w:t>合同签订之日起一年</w:t>
            </w:r>
          </w:p>
          <w:p>
            <w:pPr>
              <w:pStyle w:val="14"/>
              <w:ind w:firstLine="0" w:firstLineChars="0"/>
              <w:rPr>
                <w:rFonts w:ascii="宋体" w:hAnsi="宋体"/>
                <w:b/>
              </w:rPr>
            </w:pPr>
            <w:r>
              <w:rPr>
                <w:rFonts w:hint="eastAsia"/>
                <w:b/>
                <w:sz w:val="28"/>
                <w:szCs w:val="28"/>
              </w:rPr>
              <w:t>服务地点：采购人指定地点</w:t>
            </w:r>
          </w:p>
        </w:tc>
      </w:tr>
    </w:tbl>
    <w:p>
      <w:pPr>
        <w:pStyle w:val="14"/>
        <w:ind w:firstLine="0" w:firstLineChars="0"/>
      </w:pPr>
    </w:p>
    <w:p>
      <w:pPr>
        <w:pStyle w:val="14"/>
      </w:pPr>
      <w:r>
        <w:rPr>
          <w:rFonts w:hint="eastAsia"/>
        </w:rPr>
        <w:t>（二）</w:t>
      </w:r>
      <w:r>
        <w:rPr>
          <w:rFonts w:hint="eastAsia"/>
          <w:lang w:eastAsia="zh-Hans"/>
        </w:rPr>
        <w:t>付款方式</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1</w:t>
      </w:r>
      <w:r>
        <w:rPr>
          <w:rFonts w:hint="eastAsia" w:ascii="宋体" w:hAnsi="宋体" w:cs="Arial"/>
          <w:kern w:val="0"/>
          <w:sz w:val="24"/>
          <w:lang w:eastAsia="zh-Hans"/>
        </w:rPr>
        <w:t>.</w:t>
      </w:r>
      <w:r>
        <w:rPr>
          <w:rFonts w:hint="eastAsia" w:ascii="宋体" w:hAnsi="宋体" w:cs="Arial"/>
          <w:kern w:val="0"/>
          <w:sz w:val="24"/>
        </w:rPr>
        <w:t>本合同总价包括乙方履行本合同义务所发生的一切费用和支出及一切税、费。</w:t>
      </w:r>
    </w:p>
    <w:p>
      <w:pPr>
        <w:widowControl/>
        <w:spacing w:line="360" w:lineRule="auto"/>
        <w:ind w:firstLine="480" w:firstLineChars="200"/>
        <w:textAlignment w:val="center"/>
        <w:rPr>
          <w:rFonts w:ascii="宋体" w:hAnsi="宋体" w:cs="Arial"/>
          <w:kern w:val="0"/>
          <w:sz w:val="24"/>
        </w:rPr>
      </w:pPr>
      <w:r>
        <w:rPr>
          <w:rFonts w:ascii="宋体" w:hAnsi="宋体" w:cs="Arial"/>
          <w:kern w:val="0"/>
          <w:sz w:val="24"/>
        </w:rPr>
        <w:t>2</w:t>
      </w:r>
      <w:r>
        <w:rPr>
          <w:rFonts w:hint="eastAsia" w:ascii="宋体" w:hAnsi="宋体" w:cs="Arial"/>
          <w:kern w:val="0"/>
          <w:sz w:val="24"/>
          <w:lang w:eastAsia="zh-Hans"/>
        </w:rPr>
        <w:t>.</w:t>
      </w:r>
      <w:r>
        <w:rPr>
          <w:rFonts w:hint="eastAsia" w:ascii="宋体" w:hAnsi="宋体" w:cs="Arial"/>
          <w:kern w:val="0"/>
          <w:sz w:val="24"/>
        </w:rPr>
        <w:t>本合同总价由甲方分</w:t>
      </w:r>
      <w:r>
        <w:rPr>
          <w:rFonts w:hint="eastAsia" w:ascii="宋体" w:hAnsi="宋体" w:cs="Arial"/>
          <w:kern w:val="0"/>
          <w:sz w:val="24"/>
          <w:lang w:eastAsia="zh-Hans"/>
        </w:rPr>
        <w:t>两次</w:t>
      </w:r>
      <w:r>
        <w:rPr>
          <w:rFonts w:hint="eastAsia" w:ascii="宋体" w:hAnsi="宋体" w:cs="Arial"/>
          <w:kern w:val="0"/>
          <w:sz w:val="24"/>
        </w:rPr>
        <w:t>通过银行转账方式拨付至乙方，具体支付方式和时间如下：</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第一笔款</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在合同签订后，甲方在收到乙方提供的相应金额的发票后</w:t>
      </w:r>
      <w:r>
        <w:rPr>
          <w:rFonts w:ascii="宋体" w:hAnsi="宋体" w:cs="Arial"/>
          <w:kern w:val="0"/>
          <w:sz w:val="24"/>
        </w:rPr>
        <w:t>10</w:t>
      </w:r>
      <w:r>
        <w:rPr>
          <w:rFonts w:hint="eastAsia" w:ascii="宋体" w:hAnsi="宋体" w:cs="Arial"/>
          <w:kern w:val="0"/>
          <w:sz w:val="24"/>
        </w:rPr>
        <w:t>工作日内启动财政支付流程，向乙方支付合同总价的</w:t>
      </w:r>
      <w:r>
        <w:rPr>
          <w:rFonts w:ascii="宋体" w:hAnsi="宋体" w:cs="Arial"/>
          <w:kern w:val="0"/>
          <w:sz w:val="24"/>
        </w:rPr>
        <w:t>65</w:t>
      </w:r>
      <w:r>
        <w:rPr>
          <w:rFonts w:hint="eastAsia" w:ascii="宋体" w:hAnsi="宋体" w:cs="Arial"/>
          <w:kern w:val="0"/>
          <w:sz w:val="24"/>
        </w:rPr>
        <w:t>%。</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第二笔款</w:t>
      </w:r>
    </w:p>
    <w:p>
      <w:pPr>
        <w:widowControl/>
        <w:spacing w:line="360" w:lineRule="auto"/>
        <w:ind w:firstLine="480" w:firstLineChars="200"/>
        <w:textAlignment w:val="center"/>
        <w:rPr>
          <w:rFonts w:ascii="宋体" w:hAnsi="宋体" w:cs="Arial"/>
          <w:kern w:val="0"/>
          <w:sz w:val="24"/>
        </w:rPr>
      </w:pPr>
      <w:r>
        <w:rPr>
          <w:rFonts w:hint="eastAsia" w:ascii="宋体" w:hAnsi="宋体" w:cs="Arial"/>
          <w:kern w:val="0"/>
          <w:sz w:val="24"/>
        </w:rPr>
        <w:t>项目验收</w:t>
      </w:r>
      <w:r>
        <w:rPr>
          <w:rFonts w:hint="eastAsia" w:ascii="宋体" w:hAnsi="宋体" w:cs="Arial"/>
          <w:kern w:val="0"/>
          <w:sz w:val="24"/>
          <w:lang w:eastAsia="zh-Hans"/>
        </w:rPr>
        <w:t>后，</w:t>
      </w:r>
      <w:r>
        <w:rPr>
          <w:rFonts w:hint="eastAsia" w:ascii="宋体" w:hAnsi="宋体" w:cs="Arial"/>
          <w:kern w:val="0"/>
          <w:sz w:val="24"/>
        </w:rPr>
        <w:t>甲方在收到乙方提供的相应金额的发票后1</w:t>
      </w:r>
      <w:r>
        <w:rPr>
          <w:rFonts w:ascii="宋体" w:hAnsi="宋体" w:cs="Arial"/>
          <w:kern w:val="0"/>
          <w:sz w:val="24"/>
        </w:rPr>
        <w:t>0</w:t>
      </w:r>
      <w:r>
        <w:rPr>
          <w:rFonts w:hint="eastAsia" w:ascii="宋体" w:hAnsi="宋体" w:cs="Arial"/>
          <w:kern w:val="0"/>
          <w:sz w:val="24"/>
        </w:rPr>
        <w:t>个工作日内启动财政支付流程，向乙方支付合同款项的</w:t>
      </w:r>
      <w:r>
        <w:rPr>
          <w:rFonts w:ascii="宋体" w:hAnsi="宋体" w:cs="Arial"/>
          <w:kern w:val="0"/>
          <w:sz w:val="24"/>
        </w:rPr>
        <w:t>35</w:t>
      </w:r>
      <w:r>
        <w:rPr>
          <w:rFonts w:hint="eastAsia" w:ascii="宋体" w:hAnsi="宋体" w:cs="Arial"/>
          <w:kern w:val="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3588C"/>
    <w:multiLevelType w:val="singleLevel"/>
    <w:tmpl w:val="5823588C"/>
    <w:lvl w:ilvl="0" w:tentative="0">
      <w:start w:val="2"/>
      <w:numFmt w:val="chineseCounting"/>
      <w:suff w:val="nothing"/>
      <w:lvlText w:val="%1、"/>
      <w:lvlJc w:val="left"/>
    </w:lvl>
  </w:abstractNum>
  <w:abstractNum w:abstractNumId="1">
    <w:nsid w:val="5EB919C8"/>
    <w:multiLevelType w:val="multilevel"/>
    <w:tmpl w:val="5EB919C8"/>
    <w:lvl w:ilvl="0" w:tentative="0">
      <w:start w:val="1"/>
      <w:numFmt w:val="upperLetter"/>
      <w:lvlText w:val="附录%1"/>
      <w:lvlJc w:val="left"/>
      <w:pPr>
        <w:ind w:left="425" w:hanging="425"/>
      </w:pPr>
      <w:rPr>
        <w:rFonts w:hint="default" w:ascii="Times New Roman" w:hAnsi="Times New Roman" w:eastAsia="黑体"/>
        <w:b/>
        <w:i w:val="0"/>
        <w:sz w:val="32"/>
      </w:rPr>
    </w:lvl>
    <w:lvl w:ilvl="1" w:tentative="0">
      <w:start w:val="1"/>
      <w:numFmt w:val="decimal"/>
      <w:lvlText w:val="%1.%2"/>
      <w:lvlJc w:val="left"/>
      <w:pPr>
        <w:ind w:left="992" w:hanging="567"/>
      </w:pPr>
      <w:rPr>
        <w:rFonts w:hint="default" w:ascii="Times New Roman" w:hAnsi="Times New Roman" w:eastAsia="黑体"/>
        <w:b/>
        <w:i w:val="0"/>
        <w:sz w:val="28"/>
      </w:rPr>
    </w:lvl>
    <w:lvl w:ilvl="2" w:tentative="0">
      <w:start w:val="1"/>
      <w:numFmt w:val="decimal"/>
      <w:lvlText w:val="%1.%2.%3"/>
      <w:lvlJc w:val="left"/>
      <w:pPr>
        <w:ind w:left="1418" w:hanging="567"/>
      </w:pPr>
      <w:rPr>
        <w:rFonts w:hint="default" w:ascii="Times New Roman" w:hAnsi="Times New Roman" w:eastAsia="黑体"/>
        <w:b/>
        <w:i w:val="0"/>
        <w:sz w:val="28"/>
      </w:rPr>
    </w:lvl>
    <w:lvl w:ilvl="3" w:tentative="0">
      <w:start w:val="1"/>
      <w:numFmt w:val="decimal"/>
      <w:lvlText w:val="%1.%2.%3.%4"/>
      <w:lvlJc w:val="left"/>
      <w:pPr>
        <w:ind w:left="1984" w:hanging="708"/>
      </w:pPr>
      <w:rPr>
        <w:rFonts w:hint="default" w:ascii="Times New Roman" w:hAnsi="Times New Roman" w:eastAsia="黑体"/>
        <w:b/>
        <w:i w:val="0"/>
        <w:sz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lvlOverride w:ilvl="0">
      <w:lvl w:ilvl="0" w:tentative="1">
        <w:start w:val="1"/>
        <w:numFmt w:val="upperLetter"/>
        <w:lvlText w:val="附录%1"/>
        <w:lvlJc w:val="left"/>
        <w:pPr>
          <w:ind w:left="425" w:hanging="425"/>
        </w:pPr>
        <w:rPr>
          <w:rFonts w:hint="default" w:ascii="Times New Roman" w:hAnsi="Times New Roman" w:eastAsia="黑体"/>
          <w:b/>
          <w:i w:val="0"/>
          <w:sz w:val="32"/>
        </w:rPr>
      </w:lvl>
    </w:lvlOverride>
    <w:lvlOverride w:ilvl="1">
      <w:lvl w:ilvl="1" w:tentative="1">
        <w:start w:val="1"/>
        <w:numFmt w:val="decimal"/>
        <w:pStyle w:val="24"/>
        <w:lvlText w:val="%1.%2"/>
        <w:lvlJc w:val="left"/>
        <w:pPr>
          <w:ind w:left="992" w:hanging="567"/>
        </w:pPr>
        <w:rPr>
          <w:rFonts w:hint="default" w:ascii="Times New Roman" w:hAnsi="Times New Roman" w:eastAsia="黑体"/>
          <w:b/>
          <w:i w:val="0"/>
          <w:sz w:val="28"/>
        </w:rPr>
      </w:lvl>
    </w:lvlOverride>
    <w:lvlOverride w:ilvl="2">
      <w:lvl w:ilvl="2" w:tentative="1">
        <w:start w:val="1"/>
        <w:numFmt w:val="decimal"/>
        <w:pStyle w:val="22"/>
        <w:lvlText w:val="%1.%2.%3"/>
        <w:lvlJc w:val="left"/>
        <w:pPr>
          <w:ind w:left="1418" w:hanging="567"/>
        </w:pPr>
        <w:rPr>
          <w:rFonts w:ascii="Times New Roman" w:hAnsi="Times New Roman"/>
          <w:b/>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Override>
    <w:lvlOverride w:ilvl="3">
      <w:lvl w:ilvl="3" w:tentative="1">
        <w:start w:val="1"/>
        <w:numFmt w:val="decimal"/>
        <w:pStyle w:val="25"/>
        <w:lvlText w:val="%1.%2.%3.%4"/>
        <w:lvlJc w:val="left"/>
        <w:pPr>
          <w:ind w:left="1984" w:hanging="708"/>
        </w:pPr>
        <w:rPr>
          <w:rFonts w:ascii="Times New Roman" w:hAnsi="Times New Roman"/>
          <w:b/>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Override>
    <w:lvlOverride w:ilvl="4">
      <w:lvl w:ilvl="4" w:tentative="1">
        <w:start w:val="1"/>
        <w:numFmt w:val="decimal"/>
        <w:lvlText w:val="%1.%2.%3.%4.%5"/>
        <w:lvlJc w:val="left"/>
        <w:pPr>
          <w:ind w:left="2551" w:hanging="850"/>
        </w:pPr>
        <w:rPr>
          <w:rFonts w:hint="eastAsia" w:ascii="Times New Roman" w:hAnsi="Times New Roman"/>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ZWUxMGNjMjg5YmM1YWIxNGRhYjcyY2QzZDFkMmUifQ=="/>
  </w:docVars>
  <w:rsids>
    <w:rsidRoot w:val="181762AC"/>
    <w:rsid w:val="00055614"/>
    <w:rsid w:val="001E23AE"/>
    <w:rsid w:val="002773C2"/>
    <w:rsid w:val="002A7B6E"/>
    <w:rsid w:val="0032678C"/>
    <w:rsid w:val="00343F43"/>
    <w:rsid w:val="003F02CF"/>
    <w:rsid w:val="00416694"/>
    <w:rsid w:val="00424AD9"/>
    <w:rsid w:val="00434BDB"/>
    <w:rsid w:val="004674F2"/>
    <w:rsid w:val="004C5061"/>
    <w:rsid w:val="004D67AD"/>
    <w:rsid w:val="005D761E"/>
    <w:rsid w:val="006A4535"/>
    <w:rsid w:val="0089403E"/>
    <w:rsid w:val="00894C6F"/>
    <w:rsid w:val="008D7FDE"/>
    <w:rsid w:val="00962257"/>
    <w:rsid w:val="00971501"/>
    <w:rsid w:val="009B4BF5"/>
    <w:rsid w:val="00A52682"/>
    <w:rsid w:val="00A93C80"/>
    <w:rsid w:val="00AF1A6C"/>
    <w:rsid w:val="00B50E5E"/>
    <w:rsid w:val="00B52A96"/>
    <w:rsid w:val="00B65102"/>
    <w:rsid w:val="00BA19E5"/>
    <w:rsid w:val="00BC53B5"/>
    <w:rsid w:val="00BD0F87"/>
    <w:rsid w:val="00BE0E1C"/>
    <w:rsid w:val="00C64514"/>
    <w:rsid w:val="00CA49D5"/>
    <w:rsid w:val="00D31031"/>
    <w:rsid w:val="00D37C65"/>
    <w:rsid w:val="00E4541D"/>
    <w:rsid w:val="00E52D51"/>
    <w:rsid w:val="00EA4D08"/>
    <w:rsid w:val="00ED4DE8"/>
    <w:rsid w:val="00EE7DA1"/>
    <w:rsid w:val="00F253C4"/>
    <w:rsid w:val="00F74D22"/>
    <w:rsid w:val="00F84280"/>
    <w:rsid w:val="013F5102"/>
    <w:rsid w:val="03CE2FD9"/>
    <w:rsid w:val="05F41EA9"/>
    <w:rsid w:val="0AB5721A"/>
    <w:rsid w:val="102A153D"/>
    <w:rsid w:val="16497FFC"/>
    <w:rsid w:val="181762AC"/>
    <w:rsid w:val="1DEE3F74"/>
    <w:rsid w:val="20210D51"/>
    <w:rsid w:val="25357BD6"/>
    <w:rsid w:val="253C2EE5"/>
    <w:rsid w:val="2FFD41CE"/>
    <w:rsid w:val="302F400C"/>
    <w:rsid w:val="30B8108E"/>
    <w:rsid w:val="321650E8"/>
    <w:rsid w:val="346F07AB"/>
    <w:rsid w:val="38624AF5"/>
    <w:rsid w:val="3DB14700"/>
    <w:rsid w:val="3F381EE7"/>
    <w:rsid w:val="408657E7"/>
    <w:rsid w:val="43FF1DBB"/>
    <w:rsid w:val="454A0027"/>
    <w:rsid w:val="47405383"/>
    <w:rsid w:val="47F75B2E"/>
    <w:rsid w:val="49827D5C"/>
    <w:rsid w:val="4A8F20E5"/>
    <w:rsid w:val="4D3C7640"/>
    <w:rsid w:val="530829AD"/>
    <w:rsid w:val="56E51E50"/>
    <w:rsid w:val="57076271"/>
    <w:rsid w:val="5A526540"/>
    <w:rsid w:val="5E371164"/>
    <w:rsid w:val="5FCE3055"/>
    <w:rsid w:val="6090097E"/>
    <w:rsid w:val="60F74D13"/>
    <w:rsid w:val="6B1E1734"/>
    <w:rsid w:val="704831BB"/>
    <w:rsid w:val="727FF78C"/>
    <w:rsid w:val="730D28A5"/>
    <w:rsid w:val="73792126"/>
    <w:rsid w:val="789C0E45"/>
    <w:rsid w:val="79153472"/>
    <w:rsid w:val="7C134351"/>
    <w:rsid w:val="7FB30493"/>
    <w:rsid w:val="B76F20BE"/>
    <w:rsid w:val="CDFD62BD"/>
    <w:rsid w:val="DAF6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afterLines="100" w:line="360" w:lineRule="auto"/>
      <w:jc w:val="center"/>
      <w:textAlignment w:val="baseline"/>
      <w:outlineLvl w:val="0"/>
    </w:pPr>
    <w:rPr>
      <w:rFonts w:ascii="宋体" w:hAnsi="宋体" w:cs="Arial"/>
      <w:b/>
      <w:sz w:val="44"/>
      <w:szCs w:val="44"/>
    </w:rPr>
  </w:style>
  <w:style w:type="paragraph" w:styleId="4">
    <w:name w:val="heading 2"/>
    <w:basedOn w:val="1"/>
    <w:next w:val="1"/>
    <w:unhideWhenUsed/>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keepNext/>
      <w:keepLines/>
      <w:widowControl/>
      <w:spacing w:before="260" w:after="260" w:line="416" w:lineRule="auto"/>
      <w:jc w:val="left"/>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uiPriority w:val="0"/>
    <w:pPr>
      <w:adjustRightInd w:val="0"/>
      <w:jc w:val="center"/>
      <w:textAlignment w:val="baseline"/>
    </w:pPr>
    <w:rPr>
      <w:rFonts w:ascii="宋体"/>
      <w:b/>
      <w:kern w:val="0"/>
      <w:sz w:val="72"/>
      <w:szCs w:val="20"/>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uiPriority w:val="0"/>
    <w:pP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标题 2 +"/>
    <w:basedOn w:val="4"/>
    <w:qFormat/>
    <w:uiPriority w:val="0"/>
    <w:pPr>
      <w:autoSpaceDE/>
      <w:autoSpaceDN/>
      <w:adjustRightInd/>
      <w:spacing w:before="260" w:line="500" w:lineRule="exact"/>
      <w:jc w:val="both"/>
      <w:textAlignment w:val="auto"/>
    </w:pPr>
    <w:rPr>
      <w:rFonts w:eastAsia="仿宋_GB2312"/>
      <w:bCs/>
      <w:spacing w:val="0"/>
      <w:kern w:val="2"/>
      <w:sz w:val="30"/>
      <w:szCs w:val="32"/>
    </w:rPr>
  </w:style>
  <w:style w:type="paragraph" w:customStyle="1" w:styleId="14">
    <w:name w:val="0正文"/>
    <w:basedOn w:val="1"/>
    <w:qFormat/>
    <w:uiPriority w:val="0"/>
    <w:pPr>
      <w:adjustRightInd w:val="0"/>
      <w:spacing w:line="360" w:lineRule="auto"/>
      <w:ind w:firstLine="480" w:firstLineChars="200"/>
      <w:textAlignment w:val="baseline"/>
    </w:pPr>
    <w:rPr>
      <w:rFonts w:ascii="Verdana" w:hAnsi="Verdana" w:cs="宋体"/>
      <w:sz w:val="24"/>
    </w:rPr>
  </w:style>
  <w:style w:type="paragraph" w:customStyle="1" w:styleId="15">
    <w:name w:val="列出段落1"/>
    <w:basedOn w:val="1"/>
    <w:qFormat/>
    <w:uiPriority w:val="34"/>
    <w:pPr>
      <w:ind w:firstLine="420" w:firstLineChars="200"/>
    </w:pPr>
    <w:rPr>
      <w:rFonts w:ascii="Calibri" w:hAnsi="Calibri" w:eastAsia="微软雅黑"/>
      <w:szCs w:val="22"/>
    </w:rPr>
  </w:style>
  <w:style w:type="paragraph" w:customStyle="1" w:styleId="16">
    <w:name w:val="首行缩进:  0.85 厘米"/>
    <w:basedOn w:val="1"/>
    <w:qFormat/>
    <w:uiPriority w:val="0"/>
    <w:pPr>
      <w:widowControl/>
      <w:spacing w:after="100" w:line="360" w:lineRule="auto"/>
      <w:ind w:firstLine="482"/>
      <w:jc w:val="left"/>
    </w:pPr>
    <w:rPr>
      <w:rFonts w:cs="宋体"/>
      <w:kern w:val="0"/>
      <w:sz w:val="24"/>
      <w:szCs w:val="20"/>
      <w:lang w:eastAsia="en-US" w:bidi="en-US"/>
    </w:rPr>
  </w:style>
  <w:style w:type="paragraph" w:customStyle="1" w:styleId="17">
    <w:name w:val="黑体"/>
    <w:basedOn w:val="1"/>
    <w:uiPriority w:val="0"/>
    <w:rPr>
      <w:rFonts w:hint="eastAsia" w:ascii="黑体" w:hAnsi="黑体" w:eastAsia="黑体" w:cs="黑体"/>
      <w:sz w:val="32"/>
    </w:rPr>
  </w:style>
  <w:style w:type="paragraph" w:customStyle="1" w:styleId="18">
    <w:name w:val="仿宋_GB2312"/>
    <w:basedOn w:val="1"/>
    <w:uiPriority w:val="0"/>
    <w:rPr>
      <w:rFonts w:hint="eastAsia" w:ascii="仿宋_GB2312" w:hAnsi="仿宋_GB2312" w:eastAsia="仿宋_GB2312" w:cs="仿宋_GB2312"/>
      <w:sz w:val="32"/>
    </w:rPr>
  </w:style>
  <w:style w:type="paragraph" w:customStyle="1" w:styleId="19">
    <w:name w:val="楷体_GB2312"/>
    <w:basedOn w:val="1"/>
    <w:qFormat/>
    <w:uiPriority w:val="0"/>
    <w:rPr>
      <w:rFonts w:hint="eastAsia" w:ascii="楷体_GB2312" w:hAnsi="楷体_GB2312" w:eastAsia="楷体_GB2312" w:cs="楷体_GB2312"/>
      <w:sz w:val="32"/>
    </w:rPr>
  </w:style>
  <w:style w:type="paragraph" w:customStyle="1" w:styleId="20">
    <w:name w:val="方正小标宋简体"/>
    <w:basedOn w:val="1"/>
    <w:uiPriority w:val="0"/>
    <w:rPr>
      <w:rFonts w:hint="eastAsia" w:ascii="方正小标宋简体" w:hAnsi="方正小标宋简体" w:eastAsia="方正小标宋简体" w:cs="方正小标宋简体"/>
      <w:sz w:val="32"/>
    </w:rPr>
  </w:style>
  <w:style w:type="paragraph" w:customStyle="1" w:styleId="21">
    <w:name w:val="方正小标宋_GBK"/>
    <w:basedOn w:val="1"/>
    <w:qFormat/>
    <w:uiPriority w:val="0"/>
    <w:rPr>
      <w:rFonts w:hint="eastAsia" w:ascii="方正小标宋_GBK”" w:hAnsi="方正小标宋_GBK”" w:eastAsia="方正小标宋_GBK”" w:cs="方正小标宋_GBK”"/>
      <w:sz w:val="32"/>
    </w:rPr>
  </w:style>
  <w:style w:type="paragraph" w:customStyle="1" w:styleId="22">
    <w:name w:val="附录三级标题"/>
    <w:basedOn w:val="1"/>
    <w:next w:val="1"/>
    <w:link w:val="23"/>
    <w:qFormat/>
    <w:uiPriority w:val="0"/>
    <w:pPr>
      <w:numPr>
        <w:ilvl w:val="2"/>
        <w:numId w:val="1"/>
      </w:numPr>
      <w:spacing w:line="360" w:lineRule="auto"/>
      <w:jc w:val="left"/>
      <w:outlineLvl w:val="2"/>
    </w:pPr>
    <w:rPr>
      <w:rFonts w:ascii="Times New Roman" w:hAnsi="Times New Roman" w:eastAsia="黑体"/>
      <w:b/>
      <w:sz w:val="28"/>
      <w:szCs w:val="22"/>
    </w:rPr>
  </w:style>
  <w:style w:type="character" w:customStyle="1" w:styleId="23">
    <w:name w:val="附录三级标题 字符"/>
    <w:basedOn w:val="12"/>
    <w:link w:val="22"/>
    <w:qFormat/>
    <w:uiPriority w:val="0"/>
    <w:rPr>
      <w:rFonts w:eastAsia="黑体" w:cstheme="minorBidi"/>
      <w:b/>
      <w:kern w:val="2"/>
      <w:sz w:val="28"/>
      <w:szCs w:val="22"/>
    </w:rPr>
  </w:style>
  <w:style w:type="paragraph" w:customStyle="1" w:styleId="24">
    <w:name w:val="附录二级标题"/>
    <w:basedOn w:val="1"/>
    <w:next w:val="1"/>
    <w:qFormat/>
    <w:uiPriority w:val="0"/>
    <w:pPr>
      <w:numPr>
        <w:ilvl w:val="1"/>
        <w:numId w:val="1"/>
      </w:numPr>
      <w:spacing w:line="360" w:lineRule="auto"/>
      <w:jc w:val="left"/>
      <w:outlineLvl w:val="1"/>
    </w:pPr>
    <w:rPr>
      <w:rFonts w:ascii="Times New Roman" w:hAnsi="Times New Roman" w:eastAsia="黑体"/>
      <w:b/>
      <w:sz w:val="28"/>
      <w:szCs w:val="22"/>
    </w:rPr>
  </w:style>
  <w:style w:type="paragraph" w:customStyle="1" w:styleId="25">
    <w:name w:val="附录四级标题"/>
    <w:basedOn w:val="1"/>
    <w:next w:val="1"/>
    <w:qFormat/>
    <w:uiPriority w:val="0"/>
    <w:pPr>
      <w:numPr>
        <w:ilvl w:val="3"/>
        <w:numId w:val="1"/>
      </w:numPr>
      <w:spacing w:line="360" w:lineRule="auto"/>
      <w:outlineLvl w:val="3"/>
    </w:pPr>
    <w:rPr>
      <w:rFonts w:ascii="黑体" w:hAnsi="黑体" w:eastAsia="黑体"/>
      <w:b/>
      <w:sz w:val="28"/>
      <w:szCs w:val="22"/>
    </w:rPr>
  </w:style>
  <w:style w:type="character" w:customStyle="1" w:styleId="26">
    <w:name w:val="页眉 字符"/>
    <w:basedOn w:val="12"/>
    <w:link w:val="9"/>
    <w:uiPriority w:val="0"/>
    <w:rPr>
      <w:rFonts w:asciiTheme="minorHAnsi" w:hAnsiTheme="minorHAnsi" w:eastAsiaTheme="minorEastAsia" w:cstheme="minorBidi"/>
      <w:kern w:val="2"/>
      <w:sz w:val="18"/>
      <w:szCs w:val="18"/>
    </w:rPr>
  </w:style>
  <w:style w:type="character" w:customStyle="1" w:styleId="27">
    <w:name w:val="页脚 字符"/>
    <w:basedOn w:val="12"/>
    <w:link w:val="8"/>
    <w:uiPriority w:val="0"/>
    <w:rPr>
      <w:rFonts w:asciiTheme="minorHAnsi" w:hAnsiTheme="minorHAnsi" w:eastAsiaTheme="minorEastAsia" w:cstheme="minorBidi"/>
      <w:kern w:val="2"/>
      <w:sz w:val="18"/>
      <w:szCs w:val="18"/>
    </w:rPr>
  </w:style>
  <w:style w:type="paragraph" w:customStyle="1" w:styleId="28">
    <w:name w:val="黑体1"/>
    <w:basedOn w:val="1"/>
    <w:uiPriority w:val="0"/>
    <w:rPr>
      <w:rFonts w:hint="eastAsia" w:ascii="黑体" w:hAnsi="黑体" w:eastAsia="黑体" w:cs="黑体"/>
      <w:sz w:val="32"/>
    </w:rPr>
  </w:style>
  <w:style w:type="paragraph" w:customStyle="1" w:styleId="29">
    <w:name w:val="仿宋_GB23121"/>
    <w:basedOn w:val="1"/>
    <w:uiPriority w:val="0"/>
    <w:rPr>
      <w:rFonts w:hint="eastAsia" w:ascii="仿宋_GB2312" w:hAnsi="仿宋_GB2312" w:eastAsia="仿宋_GB2312" w:cs="仿宋_GB2312"/>
      <w:sz w:val="32"/>
    </w:rPr>
  </w:style>
  <w:style w:type="paragraph" w:customStyle="1" w:styleId="30">
    <w:name w:val="楷体_GB23121"/>
    <w:basedOn w:val="1"/>
    <w:uiPriority w:val="0"/>
    <w:rPr>
      <w:rFonts w:hint="eastAsia" w:ascii="楷体_GB2312" w:hAnsi="楷体_GB2312" w:eastAsia="楷体_GB2312" w:cs="楷体_GB2312"/>
      <w:sz w:val="32"/>
    </w:rPr>
  </w:style>
  <w:style w:type="paragraph" w:customStyle="1" w:styleId="31">
    <w:name w:val="方正小标宋简体1"/>
    <w:basedOn w:val="1"/>
    <w:uiPriority w:val="0"/>
    <w:rPr>
      <w:rFonts w:hint="eastAsia" w:ascii="方正小标宋简体" w:hAnsi="方正小标宋简体" w:eastAsia="方正小标宋简体" w:cs="方正小标宋简体"/>
      <w:sz w:val="32"/>
    </w:rPr>
  </w:style>
  <w:style w:type="paragraph" w:customStyle="1" w:styleId="32">
    <w:name w:val="方正小标宋_GBK1"/>
    <w:basedOn w:val="1"/>
    <w:uiPriority w:val="0"/>
    <w:rPr>
      <w:rFonts w:hint="eastAsia" w:ascii="方正小标宋_GBK”" w:hAnsi="方正小标宋_GBK”" w:eastAsia="方正小标宋_GBK”" w:cs="方正小标宋_GBK”"/>
      <w:sz w:val="32"/>
    </w:rPr>
  </w:style>
  <w:style w:type="paragraph" w:customStyle="1" w:styleId="33">
    <w:name w:val=" 黑体"/>
    <w:basedOn w:val="1"/>
    <w:uiPriority w:val="0"/>
    <w:rPr>
      <w:rFonts w:hint="eastAsia" w:ascii="黑体" w:hAnsi="黑体" w:eastAsia="黑体" w:cs="黑体"/>
      <w:sz w:val="32"/>
    </w:rPr>
  </w:style>
  <w:style w:type="paragraph" w:customStyle="1" w:styleId="34">
    <w:name w:val=" 仿宋_GB2312"/>
    <w:basedOn w:val="1"/>
    <w:uiPriority w:val="0"/>
    <w:rPr>
      <w:rFonts w:hint="eastAsia" w:ascii="仿宋_GB2312" w:hAnsi="仿宋_GB2312" w:eastAsia="仿宋_GB2312" w:cs="仿宋_GB2312"/>
      <w:sz w:val="32"/>
    </w:rPr>
  </w:style>
  <w:style w:type="paragraph" w:customStyle="1" w:styleId="35">
    <w:name w:val=" 楷体_GB2312"/>
    <w:basedOn w:val="1"/>
    <w:uiPriority w:val="0"/>
    <w:rPr>
      <w:rFonts w:hint="eastAsia" w:ascii="楷体_GB2312" w:hAnsi="楷体_GB2312" w:eastAsia="楷体_GB2312" w:cs="楷体_GB2312"/>
      <w:sz w:val="32"/>
    </w:rPr>
  </w:style>
  <w:style w:type="paragraph" w:customStyle="1" w:styleId="36">
    <w:name w:val=" 方正小标宋简体"/>
    <w:basedOn w:val="1"/>
    <w:uiPriority w:val="0"/>
    <w:rPr>
      <w:rFonts w:hint="eastAsia" w:ascii="方正小标宋简体" w:hAnsi="方正小标宋简体" w:eastAsia="方正小标宋简体" w:cs="方正小标宋简体"/>
      <w:sz w:val="32"/>
    </w:rPr>
  </w:style>
  <w:style w:type="paragraph" w:customStyle="1" w:styleId="37">
    <w:name w:val=" 方正小标宋_GBK"/>
    <w:basedOn w:val="1"/>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Words>
  <Characters>1767</Characters>
  <Lines>14</Lines>
  <Paragraphs>4</Paragraphs>
  <TotalTime>79</TotalTime>
  <ScaleCrop>false</ScaleCrop>
  <LinksUpToDate>false</LinksUpToDate>
  <CharactersWithSpaces>2073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2023-11-28T12:47:00Z</dcterms:created>
  <dc:creator>Administrator</dc:creator>
  <cp:lastModifiedBy>MAIBENBEN</cp:lastModifiedBy>
  <dcterms:modified xsi:type="dcterms:W3CDTF">2023-11-29T07:54:12Z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1C5C59B5C24646699DAE4BE260464C9D</vt:lpwstr>
  </property>
</Properties>
</file>