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关于印发《医疗机构病历管理规定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Times New Roman" w:eastAsia="仿宋_GB2312" w:cs="仿宋_GB2312"/>
          <w:i w:val="0"/>
          <w:caps w:val="0"/>
          <w:color w:val="000000"/>
          <w:spacing w:val="0"/>
          <w:sz w:val="44"/>
          <w:szCs w:val="44"/>
          <w:bdr w:val="none" w:color="auto" w:sz="0" w:space="0"/>
          <w:shd w:val="clear" w:fill="FFFFFF"/>
        </w:rPr>
      </w:pPr>
      <w:bookmarkStart w:id="0" w:name="_GoBack"/>
      <w:bookmarkEnd w:id="0"/>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(2013年版）》的通知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国卫医发〔2013〕31号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各省、自治区、直辖市卫生厅局（卫生计生委）、中医药管理局，新疆生产建设兵团卫生局：</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为进一步强化医疗机构病历管理，维护医患双方的合法权益，使病历管理满足现代化医院管理的需要，国家卫生计生委和国家中医药管理局组织专家对2002年下发的《医疗机构病历管理规定》进行了修订，形成了《医疗机构病历管理规定（2013年版）》（可以从国家卫生计生委网站下载）。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国家卫生计生委 国家中医药管理局</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2013年11月20日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sz w:val="32"/>
          <w:szCs w:val="32"/>
        </w:rPr>
      </w:pPr>
      <w:r>
        <w:rPr>
          <w:rStyle w:val="5"/>
          <w:rFonts w:hint="eastAsia" w:ascii="仿宋_GB2312" w:hAnsi="Times New Roman" w:eastAsia="仿宋_GB2312" w:cs="仿宋_GB2312"/>
          <w:i w:val="0"/>
          <w:caps w:val="0"/>
          <w:color w:val="000000"/>
          <w:spacing w:val="0"/>
          <w:sz w:val="32"/>
          <w:szCs w:val="32"/>
          <w:bdr w:val="none" w:color="auto" w:sz="0" w:space="0"/>
          <w:shd w:val="clear" w:fill="FFFFFF"/>
        </w:rPr>
        <w:t>医疗机构病历管理规定</w:t>
      </w:r>
      <w:r>
        <w:rPr>
          <w:rStyle w:val="5"/>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Style w:val="5"/>
          <w:rFonts w:hint="eastAsia" w:ascii="仿宋_GB2312" w:hAnsi="Times New Roman" w:eastAsia="仿宋_GB2312" w:cs="仿宋_GB2312"/>
          <w:i w:val="0"/>
          <w:caps w:val="0"/>
          <w:color w:val="000000"/>
          <w:spacing w:val="0"/>
          <w:sz w:val="32"/>
          <w:szCs w:val="32"/>
          <w:bdr w:val="none" w:color="auto" w:sz="0" w:space="0"/>
          <w:shd w:val="clear" w:fill="FFFFFF"/>
        </w:rPr>
        <w:t>（2013年版）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sz w:val="32"/>
          <w:szCs w:val="32"/>
        </w:rPr>
      </w:pPr>
      <w:r>
        <w:rPr>
          <w:rFonts w:ascii="黑体" w:hAnsi="宋体" w:eastAsia="黑体" w:cs="黑体"/>
          <w:i w:val="0"/>
          <w:caps w:val="0"/>
          <w:color w:val="000000"/>
          <w:spacing w:val="0"/>
          <w:sz w:val="32"/>
          <w:szCs w:val="3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第一条　为加强医疗机构病历管理，保障医疗质量与安全，维护医患双方的合法权益，制定本规定。</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第二条　病历是指医务人员在医疗活动过程中形成的文字、符号、图表、影像、切片等资料的总和，包括门(急)诊病历和住院病历。病历归档以后形成病案。</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第三条  本规定适用于各级各类医疗机构对病历的管理。</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第四条  按照病历记录形式不同，可区分为纸质病历和电子病历。电子病历与纸质病历具有同等效力。</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第五条  医疗机构应当建立健全病历管理制度，设置病案管理部门或者配备专(兼)职人员，负责病历和病案管理工作。</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医疗机构应当建立病历质量定期检查、评估与反馈制度。医疗机构医务部门负责病历的质量管理。</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第六条  医疗机构及其医务人员应当严格保护患者隐私，禁止以非医疗、教学、研究目的泄露患者的病历资料。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sz w:val="32"/>
          <w:szCs w:val="32"/>
        </w:rPr>
      </w:pPr>
      <w:r>
        <w:rPr>
          <w:rFonts w:hint="eastAsia" w:ascii="黑体" w:hAnsi="宋体" w:eastAsia="黑体" w:cs="黑体"/>
          <w:i w:val="0"/>
          <w:caps w:val="0"/>
          <w:color w:val="000000"/>
          <w:spacing w:val="0"/>
          <w:sz w:val="32"/>
          <w:szCs w:val="32"/>
          <w:bdr w:val="none" w:color="auto" w:sz="0" w:space="0"/>
          <w:shd w:val="clear" w:fill="FFFFFF"/>
        </w:rPr>
        <w:t>第二章  病历的建立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第七条　医疗机构应当建立门(急)诊病历和住院病历编号制度，为同一患者建立唯一的标识号码。已建立电子病历的医疗机构，应当将病历标识号码与患者身份证明编号相关联，使用标识号码和身份证明编号均能对病历进行检索。</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门(急)诊病历和住院病历应当标注页码或者电子页码。</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第八条  医务人员应当按照《病历书写基本规范》、《中医病历书写基本规范》、《电子病历基本规范（试行）》和《中医电子病历基本规范（试行）》要求书写病历。</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第九条  住院病历应当按照以下顺序排序：体温单、医嘱单、入院记录、病程记录、术前讨论记录、手术同意书、麻醉同意书、麻醉术前访视记录、手术安全核查记录、手术清点记录、麻醉记录、手术记录、麻醉术后访视记录、术后病程记录、病重（病危）患者护理记录、出院记录、死亡记录、输血治疗知情同意书、特殊检查（特殊治疗）同意书、会诊记录、病危（重）通知书、病理资料、辅助检查报告单、医学影像检查资料。</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病案应当按照以下顺序装订保存：住院病案首页、入院记录、病程记录、术前讨论记录、手术同意书、麻醉同意书、麻醉术前访视记录、手术安全核查记录、手术清点记录、麻醉记录、手术记录、麻醉术后访视记录、术后病程记录、出院记录、死亡记录、死亡病例讨论记录、输血治疗知情同意书、特殊检查（特殊治疗）同意书、会诊记录、病危（重）通知书、病理资料、辅助检查报告单、医学影像检查资料、体温单、医嘱单、病重（病危）患者护理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sz w:val="32"/>
          <w:szCs w:val="32"/>
        </w:rPr>
      </w:pPr>
      <w:r>
        <w:rPr>
          <w:rFonts w:hint="eastAsia" w:ascii="黑体" w:hAnsi="宋体" w:eastAsia="黑体" w:cs="黑体"/>
          <w:i w:val="0"/>
          <w:caps w:val="0"/>
          <w:color w:val="000000"/>
          <w:spacing w:val="0"/>
          <w:sz w:val="32"/>
          <w:szCs w:val="32"/>
          <w:bdr w:val="none" w:color="auto" w:sz="0" w:space="0"/>
          <w:shd w:val="clear" w:fill="FFFFFF"/>
        </w:rPr>
        <w:t>第三章  病历的保管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第十条  门(急)诊病历原则上由患者负责保管。医疗机构建有门（急）诊病历档案室或者已建立门（急）诊电子病历的，经患者或者其法定代理人同意，其门（急）诊病历可以由医疗机构负责保管。</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住院病历由医疗机构负责保管。</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第十一条  门(急)诊病历由患者保管的，医疗机构应当将检查检验结果及时交由患者保管。</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第十二条  门(急)诊病历由医疗机构保管的，医疗机构应当在收到检查检验结果后24小时内，将检查检验结果归入或者录入门(急)诊病历，并在每次诊疗活动结束后首个工作日内将门(急)诊病历归档。</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第十三条  患者住院期间，住院病历由所在病区统一保管。因医疗活动或者工作需要,须将住院病历带离病区时,应当由病区指定的专门人员负责携带和保管。</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医疗机构应当在收到住院患者检查检验结果和相关资料后24小时内归入或者录入住院病历。</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患者出院后，住院病历由病案管理部门或者专(兼)职人员统一保存、管理。</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第十四条  医疗机构应当严格病历管理，任何人不得随意涂改病历，严禁伪造、隐匿、销毁、抢夺、窃取病历。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sz w:val="32"/>
          <w:szCs w:val="32"/>
        </w:rPr>
      </w:pPr>
      <w:r>
        <w:rPr>
          <w:rFonts w:hint="eastAsia" w:ascii="黑体" w:hAnsi="宋体" w:eastAsia="黑体" w:cs="黑体"/>
          <w:i w:val="0"/>
          <w:caps w:val="0"/>
          <w:color w:val="000000"/>
          <w:spacing w:val="0"/>
          <w:sz w:val="32"/>
          <w:szCs w:val="32"/>
          <w:bdr w:val="none" w:color="auto" w:sz="0" w:space="0"/>
          <w:shd w:val="clear" w:fill="FFFFFF"/>
        </w:rPr>
        <w:t>第四章  病历的借阅与复制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第十五条　除为患者提供诊疗服务的医务人员，以及经卫生计生行政部门、中医药管理部门或者医疗机构授权的负责病案管理、医疗管理的部门或者人员外，其他任何机构和个人不得擅自查阅患者病历。</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第十六条  其他医疗机构及医务人员因科研、教学需要查阅、借阅病历的,应当向患者就诊医疗机构提出申请，经同意并办理相应手续后方可查阅、借阅。查阅后应当立即归还，借阅病历应当在3个工作日内归还。查阅的病历资料不得带离患者就诊医疗机构。</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第十七条 医疗机构应当受理下列人员和机构复制或者查阅病历资料的申请，并依规定提供病历复制或者查阅服务：</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（一）患者本人或者其委托代理人；</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（二）死亡患者法定继承人或者其代理人。</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第十八条　医疗机构应当指定部门或者专（兼）职人员负责受理复制病历资料的申请。受理申请时，应当要求申请人提供有关证明材料，并对申请材料的形式进行审核。</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（一）申请人为患者本人的，应当提供其有效身份证明;</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（二）申请人为患者代理人的，应当提供患者及其代理人的有效身份证明，以及代理人与患者代理关系的法定证明材料和授权委托书；</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（三）申请人为死亡患者法定继承人的，应当提供患者死亡证明、死亡患者法定继承人的有效身份证明，死亡患者与法定继承人关系的法定证明材料；</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四）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第十九条　医疗机构可以为申请人复制门（急）诊病历和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资料。</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第二十条　公安、司法、人力资源社会保障、保险以及负责医疗事故技术鉴定的部门，因办理案件、依法实施专业技术鉴定、医疗保险审核或仲裁、商业保险审核等需要，提出审核、查阅或者复制病历资料要求的,经办人员提供以下证明材料后，医疗机构可以根据需要提供患者部分或全部病历:</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（一）该行政机关、司法机关、保险或者负责医疗事故技术鉴定部门出具的调取病历的法定证明；</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（二）经办人本人有效身份证明；</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（三）经办人本人有效工作证明（需与该行政机关、司法机关、保险或者负责医疗事故技术鉴定部门一致）。</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保险机构因商业保险审核等需要，提出审核、查阅或者复制病历资料要求的,还应当提供保险合同复印件、患者本人或者其代理人同意的法定证明材料;患者死亡的，应当提供保险合同复印件、死亡患者法定继承人或者其代理人同意的法定证明材料。合同或者法律另有规定的除外。</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第二十一条　按照《病历书写基本规范》和《中医病历书写基本规范》要求，病历尚未完成，申请人要求复制病历时，可以对已完成病历先行复制，在医务人员按照规定完成病历后，再对新完成部分进行复制。</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第二十二条　医疗机构受理复制病历资料申请后，由指定部门或者专（兼）职人员通知病案管理部门或专（兼）职人员，在规定时间内将需要复制的病历资料送至指定地点，并在申请人在场的情况下复制；复制的病历资料经申请人和医疗机构双方确认无误后，加盖医疗机构证明印记。</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第二十三条　医疗机构复制病历资料，可以按照规定收取工本费。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sz w:val="32"/>
          <w:szCs w:val="32"/>
        </w:rPr>
      </w:pPr>
      <w:r>
        <w:rPr>
          <w:rFonts w:hint="eastAsia" w:ascii="黑体" w:hAnsi="宋体" w:eastAsia="黑体" w:cs="黑体"/>
          <w:i w:val="0"/>
          <w:caps w:val="0"/>
          <w:color w:val="000000"/>
          <w:spacing w:val="0"/>
          <w:sz w:val="32"/>
          <w:szCs w:val="32"/>
          <w:bdr w:val="none" w:color="auto" w:sz="0" w:space="0"/>
          <w:shd w:val="clear" w:fill="FFFFFF"/>
        </w:rPr>
        <w:t>第五章  病历的封存与启封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第二十四条　依法需要封存病历时，应当在医疗机构或者其委托代理人、患者或者其代理人在场的情况下，对病历共同进行确认，签封病历复制件。</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医疗机构申请封存病历时，医疗机构应当告知患者或者其代理人共同实施病历封存；但患者或者其代理人拒绝或者放弃实施病历封存的，医疗机构可以在公证机构公证的情况下，对病历进行确认，由公证机构签封病历复制件。</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第二十五条  医疗机构负责封存病历复制件的保管。</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第二十六条  封存后病历的原件可以继续记录和使用。</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按照《病历书写基本规范》和《中医病历书写基本规范》要求，病历尚未完成，需要封存病历时，可以对已完成病历先行封存，当医师按照规定完成病历后，再对新完成部分进行封存。</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第二十七条　开启封存病历应当在签封各方在场的情况下实施。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sz w:val="32"/>
          <w:szCs w:val="32"/>
        </w:rPr>
      </w:pPr>
      <w:r>
        <w:rPr>
          <w:rFonts w:hint="eastAsia" w:ascii="黑体" w:hAnsi="宋体" w:eastAsia="黑体" w:cs="黑体"/>
          <w:i w:val="0"/>
          <w:caps w:val="0"/>
          <w:color w:val="000000"/>
          <w:spacing w:val="0"/>
          <w:sz w:val="32"/>
          <w:szCs w:val="32"/>
          <w:bdr w:val="none" w:color="auto" w:sz="0" w:space="0"/>
          <w:shd w:val="clear" w:fill="FFFFFF"/>
        </w:rPr>
        <w:t>第六章  病历的保存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　　第二十八条  医疗机构可以采用符合档案管理要求的缩微技术等对纸质病历进行处理后保存。</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第二十九条  门（急）诊病历由医疗机构保管的，保存时间自患者最后一次就诊之日起不少于15年；住院病历保存时间自患者最后一次住院出院之日起不少于30年。</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第三十条  医疗机构变更名称时，所保管的病历应当由变更后医疗机构继续保管。</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医疗机构撤销后，所保管的病历可以由省级卫生计生行政部门、中医药管理部门或者省级卫生计生行政部门、中医药管理部门指定的机构按照规定妥善保管。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sz w:val="32"/>
          <w:szCs w:val="32"/>
        </w:rPr>
      </w:pPr>
      <w:r>
        <w:rPr>
          <w:rFonts w:hint="eastAsia" w:ascii="黑体" w:hAnsi="宋体" w:eastAsia="黑体" w:cs="黑体"/>
          <w:i w:val="0"/>
          <w:caps w:val="0"/>
          <w:color w:val="000000"/>
          <w:spacing w:val="0"/>
          <w:sz w:val="32"/>
          <w:szCs w:val="32"/>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sz w:val="32"/>
          <w:szCs w:val="32"/>
        </w:rPr>
      </w:pP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第三十一条　本规定由国家卫生计生委负责解释。</w:t>
      </w:r>
      <w:r>
        <w:rPr>
          <w:rFonts w:hint="eastAsia" w:ascii="仿宋_GB2312" w:hAnsi="Times New Roman" w:eastAsia="仿宋_GB2312" w:cs="仿宋_GB2312"/>
          <w:i w:val="0"/>
          <w:caps w:val="0"/>
          <w:color w:val="000000"/>
          <w:spacing w:val="0"/>
          <w:sz w:val="32"/>
          <w:szCs w:val="32"/>
          <w:bdr w:val="none" w:color="auto" w:sz="0" w:space="0"/>
          <w:shd w:val="clear" w:fill="FFFFFF"/>
        </w:rPr>
        <w:br w:type="textWrapping"/>
      </w:r>
      <w:r>
        <w:rPr>
          <w:rFonts w:hint="eastAsia" w:ascii="仿宋_GB2312" w:hAnsi="Times New Roman" w:eastAsia="仿宋_GB2312" w:cs="仿宋_GB2312"/>
          <w:i w:val="0"/>
          <w:caps w:val="0"/>
          <w:color w:val="000000"/>
          <w:spacing w:val="0"/>
          <w:sz w:val="32"/>
          <w:szCs w:val="32"/>
          <w:bdr w:val="none" w:color="auto" w:sz="0" w:space="0"/>
          <w:shd w:val="clear" w:fill="FFFFFF"/>
        </w:rPr>
        <w:t>　　第三十二条　本规定自2014年1月1日起施行。原卫生部和国家中医药管理局于2002年公布的《医疗机构病历管理规定》（卫医发〔2002〕193号）同时废止。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DE5788"/>
    <w:rsid w:val="4A1947CF"/>
    <w:rsid w:val="7FDF7B7E"/>
    <w:rsid w:val="CBF3B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 黑体"/>
    <w:basedOn w:val="1"/>
    <w:uiPriority w:val="0"/>
    <w:rPr>
      <w:rFonts w:hint="eastAsia" w:ascii="黑体" w:hAnsi="黑体" w:eastAsia="黑体" w:cs="黑体"/>
      <w:sz w:val="32"/>
    </w:rPr>
  </w:style>
  <w:style w:type="paragraph" w:customStyle="1" w:styleId="7">
    <w:name w:val=" 仿宋_GB2312"/>
    <w:basedOn w:val="1"/>
    <w:uiPriority w:val="0"/>
    <w:rPr>
      <w:rFonts w:hint="eastAsia" w:ascii="仿宋_GB2312" w:hAnsi="仿宋_GB2312" w:eastAsia="仿宋_GB2312" w:cs="仿宋_GB2312"/>
      <w:sz w:val="32"/>
    </w:rPr>
  </w:style>
  <w:style w:type="paragraph" w:customStyle="1" w:styleId="8">
    <w:name w:val=" 楷体_GB2312"/>
    <w:basedOn w:val="1"/>
    <w:uiPriority w:val="0"/>
    <w:rPr>
      <w:rFonts w:hint="eastAsia" w:ascii="楷体_GB2312" w:hAnsi="楷体_GB2312" w:eastAsia="楷体_GB2312" w:cs="楷体_GB2312"/>
      <w:sz w:val="32"/>
    </w:rPr>
  </w:style>
  <w:style w:type="paragraph" w:customStyle="1" w:styleId="9">
    <w:name w:val=" 方正小标宋简体"/>
    <w:basedOn w:val="1"/>
    <w:uiPriority w:val="0"/>
    <w:rPr>
      <w:rFonts w:hint="eastAsia" w:ascii="方正小标宋简体" w:hAnsi="方正小标宋简体" w:eastAsia="方正小标宋简体" w:cs="方正小标宋简体"/>
      <w:sz w:val="32"/>
    </w:rPr>
  </w:style>
  <w:style w:type="paragraph" w:customStyle="1" w:styleId="10">
    <w:name w:val=" 方正小标宋_GBK"/>
    <w:basedOn w:val="1"/>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刘刘</cp:lastModifiedBy>
  <dcterms:modified xsi:type="dcterms:W3CDTF">2024-12-25T10:19:29Z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