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val="0"/>
        <w:bidi w:val="0"/>
        <w:adjustRightInd/>
        <w:snapToGrid/>
        <w:spacing w:line="560" w:lineRule="exact"/>
        <w:ind w:firstLine="0" w:firstLineChars="0"/>
        <w:jc w:val="both"/>
        <w:outlineLvl w:val="0"/>
        <w:rPr>
          <w:rFonts w:hint="default" w:ascii="黑体" w:hAnsi="黑体" w:eastAsia="黑体" w:cs="黑体"/>
          <w:b w:val="0"/>
          <w:bCs w:val="0"/>
          <w:w w:val="100"/>
          <w:sz w:val="32"/>
          <w:szCs w:val="32"/>
          <w:lang w:val="en-US" w:eastAsia="zh-CN"/>
        </w:rPr>
      </w:pPr>
      <w:bookmarkStart w:id="0" w:name="_GoBack"/>
      <w:bookmarkEnd w:id="0"/>
      <w:r>
        <w:rPr>
          <w:rFonts w:hint="eastAsia" w:ascii="黑体" w:hAnsi="黑体" w:eastAsia="黑体" w:cs="黑体"/>
          <w:b w:val="0"/>
          <w:bCs w:val="0"/>
          <w:w w:val="100"/>
          <w:sz w:val="32"/>
          <w:szCs w:val="32"/>
          <w:lang w:val="en" w:eastAsia="zh-CN"/>
        </w:rPr>
        <w:t>附件</w:t>
      </w:r>
      <w:r>
        <w:rPr>
          <w:rFonts w:hint="eastAsia" w:ascii="黑体" w:hAnsi="黑体" w:eastAsia="黑体" w:cs="黑体"/>
          <w:b w:val="0"/>
          <w:bCs w:val="0"/>
          <w:w w:val="100"/>
          <w:sz w:val="32"/>
          <w:szCs w:val="32"/>
          <w:lang w:val="en-US" w:eastAsia="zh-CN"/>
        </w:rPr>
        <w:t>1</w:t>
      </w:r>
    </w:p>
    <w:p>
      <w:pPr>
        <w:keepNext w:val="0"/>
        <w:keepLines w:val="0"/>
        <w:pageBreakBefore w:val="0"/>
        <w:kinsoku/>
        <w:wordWrap/>
        <w:overflowPunct/>
        <w:topLinePunct w:val="0"/>
        <w:autoSpaceDE/>
        <w:autoSpaceDN w:val="0"/>
        <w:bidi w:val="0"/>
        <w:adjustRightInd/>
        <w:snapToGrid/>
        <w:spacing w:line="560" w:lineRule="exact"/>
        <w:ind w:firstLine="0" w:firstLineChars="0"/>
        <w:jc w:val="center"/>
        <w:outlineLvl w:val="0"/>
        <w:rPr>
          <w:rFonts w:hint="eastAsia" w:ascii="仿宋_GB2312" w:hAnsi="仿宋_GB2312" w:eastAsia="仿宋_GB2312" w:cs="仿宋_GB2312"/>
          <w:b w:val="0"/>
          <w:bCs w:val="0"/>
          <w:w w:val="100"/>
          <w:sz w:val="44"/>
          <w:szCs w:val="44"/>
          <w:lang w:val="en" w:eastAsia="zh-CN"/>
        </w:rPr>
      </w:pPr>
      <w:r>
        <w:rPr>
          <w:rFonts w:hint="eastAsia" w:ascii="仿宋_GB2312" w:hAnsi="仿宋_GB2312" w:eastAsia="仿宋_GB2312" w:cs="仿宋_GB2312"/>
          <w:b w:val="0"/>
          <w:bCs w:val="0"/>
          <w:w w:val="100"/>
          <w:sz w:val="44"/>
          <w:szCs w:val="44"/>
          <w:lang w:val="en" w:eastAsia="zh-CN"/>
        </w:rPr>
        <w:t>基础医学教育课程（BMEC）</w:t>
      </w:r>
    </w:p>
    <w:p>
      <w:pPr>
        <w:keepNext w:val="0"/>
        <w:keepLines w:val="0"/>
        <w:pageBreakBefore w:val="0"/>
        <w:kinsoku/>
        <w:wordWrap/>
        <w:overflowPunct/>
        <w:topLinePunct w:val="0"/>
        <w:autoSpaceDE/>
        <w:autoSpaceDN w:val="0"/>
        <w:bidi w:val="0"/>
        <w:adjustRightInd/>
        <w:snapToGrid/>
        <w:spacing w:line="560" w:lineRule="exact"/>
        <w:ind w:firstLine="0" w:firstLineChars="0"/>
        <w:jc w:val="center"/>
        <w:outlineLvl w:val="0"/>
        <w:rPr>
          <w:rFonts w:hint="eastAsia" w:ascii="仿宋_GB2312" w:hAnsi="仿宋_GB2312" w:eastAsia="仿宋_GB2312" w:cs="仿宋_GB2312"/>
          <w:b w:val="0"/>
          <w:bCs w:val="0"/>
          <w:w w:val="100"/>
          <w:sz w:val="44"/>
          <w:szCs w:val="44"/>
          <w:lang w:val="en-US" w:eastAsia="zh-CN"/>
        </w:rPr>
      </w:pPr>
      <w:r>
        <w:rPr>
          <w:rFonts w:hint="eastAsia" w:ascii="仿宋_GB2312" w:hAnsi="仿宋_GB2312" w:eastAsia="仿宋_GB2312" w:cs="仿宋_GB2312"/>
          <w:b w:val="0"/>
          <w:bCs w:val="0"/>
          <w:w w:val="100"/>
          <w:sz w:val="44"/>
          <w:szCs w:val="44"/>
          <w:lang w:val="en" w:eastAsia="zh-CN"/>
        </w:rPr>
        <w:t>课程大纲</w:t>
      </w:r>
      <w:r>
        <w:rPr>
          <w:rFonts w:hint="eastAsia" w:ascii="仿宋_GB2312" w:hAnsi="仿宋_GB2312" w:eastAsia="仿宋_GB2312" w:cs="仿宋_GB2312"/>
          <w:b w:val="0"/>
          <w:bCs w:val="0"/>
          <w:w w:val="100"/>
          <w:sz w:val="44"/>
          <w:szCs w:val="44"/>
          <w:lang w:val="en-US" w:eastAsia="zh-CN"/>
        </w:rPr>
        <w:t>与时间表</w:t>
      </w:r>
    </w:p>
    <w:p>
      <w:pPr>
        <w:jc w:val="center"/>
        <w:rPr>
          <w:rFonts w:hint="eastAsia" w:ascii="仿宋_GB2312" w:hAnsi="仿宋_GB2312" w:eastAsia="仿宋_GB2312" w:cs="仿宋_GB2312"/>
          <w:b/>
        </w:rPr>
      </w:pPr>
    </w:p>
    <w:p>
      <w:pPr>
        <w:jc w:val="center"/>
        <w:rPr>
          <w:rStyle w:val="8"/>
          <w:rFonts w:hint="eastAsia" w:ascii="仿宋_GB2312" w:hAnsi="仿宋_GB2312" w:eastAsia="仿宋_GB2312" w:cs="仿宋_GB2312"/>
          <w:b w:val="0"/>
          <w:bCs w:val="0"/>
          <w:i w:val="0"/>
          <w:iCs w:val="0"/>
          <w:caps w:val="0"/>
          <w:color w:val="0F1115"/>
          <w:spacing w:val="0"/>
          <w:kern w:val="2"/>
          <w:sz w:val="32"/>
          <w:szCs w:val="32"/>
          <w:shd w:val="clear" w:color="auto" w:fill="FFFFFF"/>
          <w:lang w:val="en-US" w:eastAsia="zh-CN" w:bidi="ar-SA"/>
        </w:rPr>
      </w:pPr>
      <w:r>
        <w:rPr>
          <w:rStyle w:val="8"/>
          <w:rFonts w:hint="eastAsia" w:ascii="仿宋_GB2312" w:hAnsi="仿宋_GB2312" w:eastAsia="仿宋_GB2312" w:cs="仿宋_GB2312"/>
          <w:b w:val="0"/>
          <w:bCs w:val="0"/>
          <w:i w:val="0"/>
          <w:iCs w:val="0"/>
          <w:caps w:val="0"/>
          <w:color w:val="0F1115"/>
          <w:spacing w:val="0"/>
          <w:kern w:val="2"/>
          <w:sz w:val="32"/>
          <w:szCs w:val="32"/>
          <w:shd w:val="clear" w:color="auto" w:fill="FFFFFF"/>
          <w:lang w:val="en-US" w:eastAsia="zh-CN" w:bidi="ar-SA"/>
        </w:rPr>
        <w:t>（最初于2018年设计）</w:t>
      </w:r>
    </w:p>
    <w:p>
      <w:pPr>
        <w:jc w:val="center"/>
        <w:rPr>
          <w:rStyle w:val="8"/>
          <w:rFonts w:hint="eastAsia" w:ascii="仿宋_GB2312" w:hAnsi="仿宋_GB2312" w:eastAsia="仿宋_GB2312" w:cs="仿宋_GB2312"/>
          <w:b w:val="0"/>
          <w:bCs w:val="0"/>
          <w:i w:val="0"/>
          <w:iCs w:val="0"/>
          <w:caps w:val="0"/>
          <w:color w:val="0F1115"/>
          <w:spacing w:val="0"/>
          <w:kern w:val="2"/>
          <w:sz w:val="32"/>
          <w:szCs w:val="32"/>
          <w:shd w:val="clear" w:color="auto" w:fill="FFFFFF"/>
          <w:lang w:val="en-US" w:eastAsia="zh-CN" w:bidi="ar-SA"/>
        </w:rPr>
      </w:pPr>
      <w:r>
        <w:rPr>
          <w:rStyle w:val="8"/>
          <w:rFonts w:hint="eastAsia" w:ascii="仿宋_GB2312" w:hAnsi="仿宋_GB2312" w:eastAsia="仿宋_GB2312" w:cs="仿宋_GB2312"/>
          <w:b w:val="0"/>
          <w:bCs w:val="0"/>
          <w:i w:val="0"/>
          <w:iCs w:val="0"/>
          <w:caps w:val="0"/>
          <w:color w:val="0F1115"/>
          <w:spacing w:val="0"/>
          <w:kern w:val="2"/>
          <w:sz w:val="32"/>
          <w:szCs w:val="32"/>
          <w:shd w:val="clear" w:color="auto" w:fill="FFFFFF"/>
          <w:lang w:val="en-US" w:eastAsia="zh-CN" w:bidi="ar-SA"/>
        </w:rPr>
        <w:t>（中文版最后修订于 2026年3月）</w:t>
      </w:r>
    </w:p>
    <w:p>
      <w:pPr>
        <w:pStyle w:val="4"/>
        <w:keepNext w:val="0"/>
        <w:keepLines w:val="0"/>
        <w:pageBreakBefore w:val="0"/>
        <w:widowControl w:val="0"/>
        <w:suppressLineNumbers w:val="0"/>
        <w:kinsoku w:val="0"/>
        <w:wordWrap w:val="0"/>
        <w:overflowPunct/>
        <w:topLinePunct/>
        <w:autoSpaceDE/>
        <w:autoSpaceDN/>
        <w:bidi w:val="0"/>
        <w:adjustRightInd/>
        <w:snapToGrid/>
        <w:spacing w:beforeAutospacing="0" w:afterAutospacing="0" w:line="560" w:lineRule="exact"/>
        <w:ind w:left="0" w:right="0" w:firstLine="640" w:firstLineChars="200"/>
        <w:textAlignment w:val="auto"/>
        <w:rPr>
          <w:rStyle w:val="8"/>
          <w:rFonts w:hint="eastAsia" w:ascii="仿宋_GB2312" w:hAnsi="仿宋_GB2312" w:eastAsia="仿宋_GB2312" w:cs="仿宋_GB2312"/>
          <w:b w:val="0"/>
          <w:bCs w:val="0"/>
          <w:i w:val="0"/>
          <w:iCs w:val="0"/>
          <w:caps w:val="0"/>
          <w:color w:val="0F1115"/>
          <w:spacing w:val="0"/>
          <w:sz w:val="32"/>
          <w:szCs w:val="32"/>
          <w:shd w:val="clear" w:color="auto" w:fill="FFFFFF"/>
        </w:rPr>
      </w:pPr>
    </w:p>
    <w:p>
      <w:pPr>
        <w:pStyle w:val="4"/>
        <w:keepNext w:val="0"/>
        <w:keepLines w:val="0"/>
        <w:pageBreakBefore w:val="0"/>
        <w:widowControl w:val="0"/>
        <w:suppressLineNumbers w:val="0"/>
        <w:kinsoku w:val="0"/>
        <w:wordWrap w:val="0"/>
        <w:overflowPunct/>
        <w:topLinePunct/>
        <w:autoSpaceDE/>
        <w:autoSpaceDN/>
        <w:bidi w:val="0"/>
        <w:adjustRightInd/>
        <w:snapToGrid/>
        <w:spacing w:beforeAutospacing="0" w:afterAutospacing="0" w:line="560" w:lineRule="exact"/>
        <w:ind w:left="0" w:right="0" w:firstLine="640" w:firstLineChars="200"/>
        <w:textAlignment w:val="auto"/>
        <w:rPr>
          <w:rStyle w:val="8"/>
          <w:rFonts w:hint="eastAsia" w:ascii="黑体" w:hAnsi="黑体" w:eastAsia="黑体" w:cs="黑体"/>
          <w:b w:val="0"/>
          <w:bCs w:val="0"/>
          <w:i w:val="0"/>
          <w:iCs w:val="0"/>
          <w:caps w:val="0"/>
          <w:color w:val="0F1115"/>
          <w:spacing w:val="0"/>
          <w:sz w:val="32"/>
          <w:szCs w:val="32"/>
          <w:shd w:val="clear" w:color="auto" w:fill="FFFFFF"/>
          <w:lang w:eastAsia="zh-CN"/>
        </w:rPr>
      </w:pPr>
      <w:r>
        <w:rPr>
          <w:rStyle w:val="8"/>
          <w:rFonts w:hint="eastAsia" w:ascii="黑体" w:hAnsi="黑体" w:eastAsia="黑体" w:cs="黑体"/>
          <w:b w:val="0"/>
          <w:bCs w:val="0"/>
          <w:i w:val="0"/>
          <w:iCs w:val="0"/>
          <w:caps w:val="0"/>
          <w:color w:val="0F1115"/>
          <w:spacing w:val="0"/>
          <w:sz w:val="32"/>
          <w:szCs w:val="32"/>
          <w:shd w:val="clear" w:color="auto" w:fill="FFFFFF"/>
          <w:lang w:val="en-US" w:eastAsia="zh-CN"/>
        </w:rPr>
        <w:t>一、</w:t>
      </w:r>
      <w:r>
        <w:rPr>
          <w:rStyle w:val="8"/>
          <w:rFonts w:hint="eastAsia" w:ascii="黑体" w:hAnsi="黑体" w:eastAsia="黑体" w:cs="黑体"/>
          <w:b w:val="0"/>
          <w:bCs w:val="0"/>
          <w:i w:val="0"/>
          <w:iCs w:val="0"/>
          <w:caps w:val="0"/>
          <w:color w:val="0F1115"/>
          <w:spacing w:val="0"/>
          <w:sz w:val="32"/>
          <w:szCs w:val="32"/>
          <w:shd w:val="clear" w:color="auto" w:fill="FFFFFF"/>
          <w:lang w:eastAsia="zh-CN"/>
        </w:rPr>
        <w:t>介绍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临床教育是一门新兴的专业，近几十年来为医护人员的培训带来了显着的进步。据国际建议的标准，所有需要教学或准备教授初级同事的医护人员全体参与需要接受该学科的一些培训。 基础医学教育课程 （Basic Medical Education Course or B-MEC） 是一门适用于所有临床专业的通用临床教育课程，旨在涵盖在职临床教育中最实用的主题。本课程的授课模式亦可以根据学习者的需要进行调整。 </w:t>
      </w:r>
    </w:p>
    <w:p>
      <w:pPr>
        <w:pStyle w:val="4"/>
        <w:keepNext w:val="0"/>
        <w:keepLines w:val="0"/>
        <w:pageBreakBefore w:val="0"/>
        <w:widowControl w:val="0"/>
        <w:suppressLineNumbers w:val="0"/>
        <w:kinsoku w:val="0"/>
        <w:wordWrap w:val="0"/>
        <w:overflowPunct/>
        <w:topLinePunct/>
        <w:autoSpaceDE/>
        <w:autoSpaceDN/>
        <w:bidi w:val="0"/>
        <w:adjustRightInd/>
        <w:snapToGrid/>
        <w:spacing w:beforeAutospacing="0" w:afterAutospacing="0" w:line="560" w:lineRule="exact"/>
        <w:ind w:left="0" w:right="0" w:firstLine="640" w:firstLineChars="200"/>
        <w:textAlignment w:val="auto"/>
        <w:rPr>
          <w:rStyle w:val="8"/>
          <w:rFonts w:hint="eastAsia" w:ascii="黑体" w:hAnsi="黑体" w:eastAsia="黑体" w:cs="黑体"/>
          <w:b w:val="0"/>
          <w:bCs w:val="0"/>
          <w:i w:val="0"/>
          <w:iCs w:val="0"/>
          <w:caps w:val="0"/>
          <w:color w:val="0F1115"/>
          <w:spacing w:val="0"/>
          <w:sz w:val="32"/>
          <w:szCs w:val="32"/>
          <w:shd w:val="clear" w:color="auto" w:fill="FFFFFF"/>
          <w:lang w:val="en-US" w:eastAsia="zh-CN"/>
        </w:rPr>
      </w:pPr>
      <w:r>
        <w:rPr>
          <w:rStyle w:val="8"/>
          <w:rFonts w:hint="eastAsia" w:ascii="黑体" w:hAnsi="黑体" w:eastAsia="黑体" w:cs="黑体"/>
          <w:b w:val="0"/>
          <w:bCs w:val="0"/>
          <w:i w:val="0"/>
          <w:iCs w:val="0"/>
          <w:caps w:val="0"/>
          <w:color w:val="0F1115"/>
          <w:spacing w:val="0"/>
          <w:sz w:val="32"/>
          <w:szCs w:val="32"/>
          <w:shd w:val="clear" w:color="auto" w:fill="FFFFFF"/>
          <w:lang w:val="en-US" w:eastAsia="zh-CN"/>
        </w:rPr>
        <w:t>二、对象</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医学、护士和其他医疗保健学科的临床教师 包括所有临床专业和学科。 参加人数：每个课程 15-</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 xml:space="preserve"> 人</w:t>
      </w:r>
    </w:p>
    <w:p>
      <w:pPr>
        <w:pStyle w:val="4"/>
        <w:keepNext w:val="0"/>
        <w:keepLines w:val="0"/>
        <w:pageBreakBefore w:val="0"/>
        <w:widowControl w:val="0"/>
        <w:suppressLineNumbers w:val="0"/>
        <w:kinsoku w:val="0"/>
        <w:wordWrap w:val="0"/>
        <w:overflowPunct/>
        <w:topLinePunct/>
        <w:autoSpaceDE/>
        <w:autoSpaceDN/>
        <w:bidi w:val="0"/>
        <w:adjustRightInd/>
        <w:snapToGrid/>
        <w:spacing w:beforeAutospacing="0" w:afterAutospacing="0" w:line="560" w:lineRule="exact"/>
        <w:ind w:left="0" w:right="0" w:firstLine="640" w:firstLineChars="200"/>
        <w:textAlignment w:val="auto"/>
        <w:rPr>
          <w:rStyle w:val="8"/>
          <w:rFonts w:hint="eastAsia" w:ascii="黑体" w:hAnsi="黑体" w:eastAsia="黑体" w:cs="黑体"/>
          <w:b w:val="0"/>
          <w:bCs w:val="0"/>
          <w:i w:val="0"/>
          <w:iCs w:val="0"/>
          <w:caps w:val="0"/>
          <w:color w:val="0F1115"/>
          <w:spacing w:val="0"/>
          <w:sz w:val="32"/>
          <w:szCs w:val="32"/>
          <w:shd w:val="clear" w:color="auto" w:fill="FFFFFF"/>
          <w:lang w:val="en-US" w:eastAsia="zh-CN"/>
        </w:rPr>
      </w:pPr>
      <w:r>
        <w:rPr>
          <w:rStyle w:val="8"/>
          <w:rFonts w:hint="eastAsia" w:ascii="黑体" w:hAnsi="黑体" w:eastAsia="黑体" w:cs="黑体"/>
          <w:b w:val="0"/>
          <w:bCs w:val="0"/>
          <w:i w:val="0"/>
          <w:iCs w:val="0"/>
          <w:caps w:val="0"/>
          <w:color w:val="0F1115"/>
          <w:spacing w:val="0"/>
          <w:sz w:val="32"/>
          <w:szCs w:val="32"/>
          <w:shd w:val="clear" w:color="auto" w:fill="FFFFFF"/>
          <w:lang w:val="en-US" w:eastAsia="zh-CN"/>
        </w:rPr>
        <w:t>三、课程总监</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蔡宇晖医生，急诊科顾问医生（爱丁堡大学临床教育硕士）</w:t>
      </w:r>
    </w:p>
    <w:p>
      <w:pPr>
        <w:pStyle w:val="4"/>
        <w:keepNext w:val="0"/>
        <w:keepLines w:val="0"/>
        <w:pageBreakBefore w:val="0"/>
        <w:widowControl w:val="0"/>
        <w:suppressLineNumbers w:val="0"/>
        <w:kinsoku w:val="0"/>
        <w:wordWrap w:val="0"/>
        <w:overflowPunct/>
        <w:topLinePunct/>
        <w:autoSpaceDE/>
        <w:autoSpaceDN/>
        <w:bidi w:val="0"/>
        <w:adjustRightInd/>
        <w:snapToGrid/>
        <w:spacing w:beforeAutospacing="0" w:afterAutospacing="0" w:line="560" w:lineRule="exact"/>
        <w:ind w:left="0" w:right="0" w:firstLine="640" w:firstLineChars="200"/>
        <w:textAlignment w:val="auto"/>
        <w:rPr>
          <w:rStyle w:val="8"/>
          <w:rFonts w:hint="eastAsia" w:ascii="黑体" w:hAnsi="黑体" w:eastAsia="黑体" w:cs="黑体"/>
          <w:b w:val="0"/>
          <w:bCs w:val="0"/>
          <w:i w:val="0"/>
          <w:iCs w:val="0"/>
          <w:caps w:val="0"/>
          <w:color w:val="0F1115"/>
          <w:spacing w:val="0"/>
          <w:sz w:val="32"/>
          <w:szCs w:val="32"/>
          <w:shd w:val="clear" w:color="auto" w:fill="FFFFFF"/>
          <w:lang w:val="en-US" w:eastAsia="zh-CN"/>
        </w:rPr>
      </w:pPr>
      <w:r>
        <w:rPr>
          <w:rStyle w:val="8"/>
          <w:rFonts w:hint="eastAsia" w:ascii="黑体" w:hAnsi="黑体" w:eastAsia="黑体" w:cs="黑体"/>
          <w:b w:val="0"/>
          <w:bCs w:val="0"/>
          <w:i w:val="0"/>
          <w:iCs w:val="0"/>
          <w:caps w:val="0"/>
          <w:color w:val="0F1115"/>
          <w:spacing w:val="0"/>
          <w:sz w:val="32"/>
          <w:szCs w:val="32"/>
          <w:shd w:val="clear" w:color="auto" w:fill="FFFFFF"/>
          <w:lang w:val="en-US" w:eastAsia="zh-CN"/>
        </w:rPr>
        <w:t>四、学习成果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课程结束后，参与课程的学员将能够：</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列出并解释重要的与临床教育相关的成人教育理论或原则，并讨论它们如何为当代实践教学提供帮助</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讨论临床教育的一些当前趋势以及它们如何符合教育学理论</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规划各种量身定制的教学方法，以解决不同的学习需要</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理解并演示一些促进课堂学习的策略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列出准备学习材料时的一些重要注意事项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练习小组学习策略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通过简单的步骤练习设计培训课程</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列出培训课程需求评核的重要性和方法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根据课程目标编写可观察的学习成果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定义并描述一些重要的当代评核概念</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对比传统的总结性评核与形成性评核</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讨论基于工作场所的评核的特点和工具</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解释临床反馈的要点</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讨论反馈素养的要素</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制定策略以支持有困难的学习者</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列出模拟训练学习工具的重要作用</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初步讨论游戏化学习的基本组成部分</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列出课程评价的各个方面并描述进行课程评价的方法</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在不同电子学习平台中体验在线学习</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练习针对困难反馈情景的应对策略</w:t>
      </w:r>
    </w:p>
    <w:p>
      <w:pPr>
        <w:pStyle w:val="4"/>
        <w:keepNext w:val="0"/>
        <w:keepLines w:val="0"/>
        <w:pageBreakBefore w:val="0"/>
        <w:widowControl w:val="0"/>
        <w:suppressLineNumbers w:val="0"/>
        <w:kinsoku w:val="0"/>
        <w:wordWrap w:val="0"/>
        <w:overflowPunct/>
        <w:topLinePunct/>
        <w:autoSpaceDE/>
        <w:autoSpaceDN/>
        <w:bidi w:val="0"/>
        <w:adjustRightInd/>
        <w:snapToGrid/>
        <w:spacing w:beforeAutospacing="0" w:afterAutospacing="0" w:line="560" w:lineRule="exact"/>
        <w:ind w:left="0" w:right="0" w:firstLine="640" w:firstLineChars="200"/>
        <w:textAlignment w:val="auto"/>
        <w:rPr>
          <w:rStyle w:val="8"/>
          <w:rFonts w:hint="eastAsia" w:ascii="黑体" w:hAnsi="黑体" w:eastAsia="黑体" w:cs="黑体"/>
          <w:b w:val="0"/>
          <w:bCs w:val="0"/>
          <w:i w:val="0"/>
          <w:iCs w:val="0"/>
          <w:caps w:val="0"/>
          <w:color w:val="0F1115"/>
          <w:spacing w:val="0"/>
          <w:sz w:val="32"/>
          <w:szCs w:val="32"/>
          <w:shd w:val="clear" w:color="auto" w:fill="FFFFFF"/>
          <w:lang w:val="en-US" w:eastAsia="zh-CN"/>
        </w:rPr>
      </w:pPr>
      <w:r>
        <w:rPr>
          <w:rStyle w:val="8"/>
          <w:rFonts w:hint="eastAsia" w:ascii="黑体" w:hAnsi="黑体" w:eastAsia="黑体" w:cs="黑体"/>
          <w:b w:val="0"/>
          <w:bCs w:val="0"/>
          <w:i w:val="0"/>
          <w:iCs w:val="0"/>
          <w:caps w:val="0"/>
          <w:color w:val="0F1115"/>
          <w:spacing w:val="0"/>
          <w:sz w:val="32"/>
          <w:szCs w:val="32"/>
          <w:shd w:val="clear" w:color="auto" w:fill="FFFFFF"/>
          <w:lang w:val="en-US" w:eastAsia="zh-CN"/>
        </w:rPr>
        <w:t>五、课程内容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授课内容的方式和参与者的体验学习：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p>
    <w:tbl>
      <w:tblPr>
        <w:tblStyle w:val="6"/>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3510"/>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shd w:val="clear" w:color="auto" w:fill="DDD9C4" w:themeFill="background2" w:themeFillShade="E6"/>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模块</w:t>
            </w:r>
          </w:p>
        </w:tc>
        <w:tc>
          <w:tcPr>
            <w:tcW w:w="3510" w:type="dxa"/>
            <w:shd w:val="clear" w:color="auto" w:fill="DDD9C4" w:themeFill="background2" w:themeFillShade="E6"/>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内容</w:t>
            </w:r>
          </w:p>
        </w:tc>
        <w:tc>
          <w:tcPr>
            <w:tcW w:w="3495" w:type="dxa"/>
            <w:shd w:val="clear" w:color="auto" w:fill="DDD9C4" w:themeFill="background2" w:themeFillShade="E6"/>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学习体验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临床教育的理论与趋势</w:t>
            </w:r>
          </w:p>
        </w:tc>
        <w:tc>
          <w:tcPr>
            <w:tcW w:w="3510" w:type="dxa"/>
          </w:tcPr>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成人学习理论</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社会建构主义</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最近发展区</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实践社区</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过度学习理论</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学习金字塔</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成人学习中的模拟</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以学习者为中心的教育</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翻转课堂和在线学习</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CBME以胜任力为本的医学教育</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跨专业教育</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等等……</w:t>
            </w:r>
          </w:p>
        </w:tc>
        <w:tc>
          <w:tcPr>
            <w:tcW w:w="3495"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课前在线学习</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在线/面对面互动</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在课堂作业中的应用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教学方法</w:t>
            </w:r>
          </w:p>
        </w:tc>
        <w:tc>
          <w:tcPr>
            <w:tcW w:w="3510" w:type="dxa"/>
          </w:tcPr>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教学方式</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多种教学方式</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布鲁姆分类法</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策略：</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改善课堂学习的因素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学习资料</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小组战术</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使用在线平台/社交媒体进行线上学习</w:t>
            </w:r>
          </w:p>
        </w:tc>
        <w:tc>
          <w:tcPr>
            <w:tcW w:w="3495"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课前在线学习</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面对面分组讨论</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作业中的应用程序/微信群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课程设计</w:t>
            </w:r>
          </w:p>
        </w:tc>
        <w:tc>
          <w:tcPr>
            <w:tcW w:w="3510" w:type="dxa"/>
          </w:tcPr>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如何设计培训课程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需求评核和 缺口分析</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课程目标和学习成果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设计/授课</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评核/课程评价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tc>
        <w:tc>
          <w:tcPr>
            <w:tcW w:w="3495"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课前在线学习</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面对面讨论</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演示和反馈的作业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评核</w:t>
            </w:r>
          </w:p>
        </w:tc>
        <w:tc>
          <w:tcPr>
            <w:tcW w:w="3510" w:type="dxa"/>
          </w:tcPr>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现代评核原则</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米勒金字塔</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评核工具</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形成性评核</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评核促进学习</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基于工作场所的评核</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WBA工具包括EPA</w:t>
            </w:r>
          </w:p>
        </w:tc>
        <w:tc>
          <w:tcPr>
            <w:tcW w:w="3495"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课前在线学习</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课程内体验</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6" w:hRule="atLeast"/>
        </w:trPr>
        <w:tc>
          <w:tcPr>
            <w:tcW w:w="1908"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反馈和有困难的学习者</w:t>
            </w:r>
          </w:p>
        </w:tc>
        <w:tc>
          <w:tcPr>
            <w:tcW w:w="3510" w:type="dxa"/>
          </w:tcPr>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临床反馈：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基本概念</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反馈技巧</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反馈模型</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反馈素养</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针对有困难的学习者的一般方法</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在困难反馈对话处境中的策略</w:t>
            </w:r>
          </w:p>
        </w:tc>
        <w:tc>
          <w:tcPr>
            <w:tcW w:w="3495"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课前在线学习</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面对面讨论</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简短互动讲座</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情景练习</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特殊教学方法</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p>
        </w:tc>
        <w:tc>
          <w:tcPr>
            <w:tcW w:w="3510"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模拟学习工具</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游戏化学习</w:t>
            </w:r>
          </w:p>
        </w:tc>
        <w:tc>
          <w:tcPr>
            <w:tcW w:w="3495"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课前或课后电子学习</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课程评价</w:t>
            </w:r>
          </w:p>
        </w:tc>
        <w:tc>
          <w:tcPr>
            <w:tcW w:w="3510"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课程评价原则</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Kirkpatrick模型</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3495"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课前在线学习</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实际课程评核</w:t>
            </w:r>
          </w:p>
        </w:tc>
      </w:tr>
    </w:tbl>
    <w:p>
      <w:pPr>
        <w:pStyle w:val="4"/>
        <w:keepNext w:val="0"/>
        <w:keepLines w:val="0"/>
        <w:pageBreakBefore w:val="0"/>
        <w:widowControl w:val="0"/>
        <w:suppressLineNumbers w:val="0"/>
        <w:kinsoku w:val="0"/>
        <w:wordWrap w:val="0"/>
        <w:overflowPunct/>
        <w:topLinePunct/>
        <w:autoSpaceDE/>
        <w:autoSpaceDN/>
        <w:bidi w:val="0"/>
        <w:adjustRightInd/>
        <w:snapToGrid/>
        <w:spacing w:beforeAutospacing="0" w:afterAutospacing="0" w:line="560" w:lineRule="exact"/>
        <w:ind w:right="0" w:firstLine="640" w:firstLineChars="200"/>
        <w:textAlignment w:val="auto"/>
        <w:rPr>
          <w:rStyle w:val="8"/>
          <w:rFonts w:hint="eastAsia" w:ascii="黑体" w:hAnsi="黑体" w:eastAsia="黑体" w:cs="黑体"/>
          <w:b w:val="0"/>
          <w:bCs w:val="0"/>
          <w:i w:val="0"/>
          <w:iCs w:val="0"/>
          <w:caps w:val="0"/>
          <w:color w:val="0F1115"/>
          <w:spacing w:val="0"/>
          <w:sz w:val="32"/>
          <w:szCs w:val="32"/>
          <w:shd w:val="clear" w:color="auto" w:fill="FFFFFF"/>
          <w:lang w:val="en-US" w:eastAsia="zh-CN"/>
        </w:rPr>
      </w:pPr>
      <w:r>
        <w:rPr>
          <w:rStyle w:val="8"/>
          <w:rFonts w:hint="eastAsia" w:ascii="黑体" w:hAnsi="黑体" w:eastAsia="黑体" w:cs="黑体"/>
          <w:b w:val="0"/>
          <w:bCs w:val="0"/>
          <w:i w:val="0"/>
          <w:iCs w:val="0"/>
          <w:caps w:val="0"/>
          <w:color w:val="0F1115"/>
          <w:spacing w:val="0"/>
          <w:sz w:val="32"/>
          <w:szCs w:val="32"/>
          <w:shd w:val="clear" w:color="auto" w:fill="FFFFFF"/>
          <w:lang w:val="en-US" w:eastAsia="zh-CN"/>
        </w:rPr>
        <w:t>六、课程时间</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课程安排可以根据学习者的需要灵活改变</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本质上，它由以下部分组成：</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2-3 周的课前在线学习：以百度云为分享平台，以activepresenter®为教材制作工具</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1天半天的</w:t>
      </w:r>
      <w:r>
        <w:rPr>
          <w:rFonts w:hint="eastAsia" w:ascii="仿宋_GB2312" w:hAnsi="仿宋_GB2312" w:eastAsia="仿宋_GB2312" w:cs="仿宋_GB2312"/>
          <w:bCs/>
          <w:sz w:val="28"/>
          <w:szCs w:val="28"/>
          <w:lang w:val="en-US" w:eastAsia="zh-CN"/>
        </w:rPr>
        <w:t>面对面线下工作坊</w:t>
      </w:r>
      <w:r>
        <w:rPr>
          <w:rFonts w:hint="eastAsia" w:ascii="仿宋_GB2312" w:hAnsi="仿宋_GB2312" w:eastAsia="仿宋_GB2312" w:cs="仿宋_GB2312"/>
          <w:bCs/>
          <w:sz w:val="28"/>
          <w:szCs w:val="28"/>
        </w:rPr>
        <w:t xml:space="preserve"> </w:t>
      </w:r>
    </w:p>
    <w:p>
      <w:pPr>
        <w:pStyle w:val="4"/>
        <w:keepNext w:val="0"/>
        <w:keepLines w:val="0"/>
        <w:pageBreakBefore w:val="0"/>
        <w:widowControl w:val="0"/>
        <w:suppressLineNumbers w:val="0"/>
        <w:kinsoku w:val="0"/>
        <w:wordWrap w:val="0"/>
        <w:overflowPunct/>
        <w:topLinePunct/>
        <w:autoSpaceDE/>
        <w:autoSpaceDN/>
        <w:bidi w:val="0"/>
        <w:adjustRightInd/>
        <w:snapToGrid/>
        <w:spacing w:beforeAutospacing="0" w:afterAutospacing="0" w:line="560" w:lineRule="exact"/>
        <w:ind w:left="0" w:right="0" w:firstLine="640" w:firstLineChars="200"/>
        <w:textAlignment w:val="auto"/>
        <w:rPr>
          <w:rStyle w:val="8"/>
          <w:rFonts w:hint="eastAsia" w:ascii="黑体" w:hAnsi="黑体" w:eastAsia="黑体" w:cs="黑体"/>
          <w:b w:val="0"/>
          <w:bCs w:val="0"/>
          <w:i w:val="0"/>
          <w:iCs w:val="0"/>
          <w:caps w:val="0"/>
          <w:color w:val="0F1115"/>
          <w:spacing w:val="0"/>
          <w:sz w:val="32"/>
          <w:szCs w:val="32"/>
          <w:shd w:val="clear" w:color="auto" w:fill="FFFFFF"/>
          <w:lang w:val="en-US" w:eastAsia="zh-CN"/>
        </w:rPr>
      </w:pPr>
      <w:r>
        <w:rPr>
          <w:rStyle w:val="8"/>
          <w:rFonts w:hint="eastAsia" w:ascii="黑体" w:hAnsi="黑体" w:eastAsia="黑体" w:cs="黑体"/>
          <w:b w:val="0"/>
          <w:bCs w:val="0"/>
          <w:i w:val="0"/>
          <w:iCs w:val="0"/>
          <w:caps w:val="0"/>
          <w:color w:val="0F1115"/>
          <w:spacing w:val="0"/>
          <w:sz w:val="32"/>
          <w:szCs w:val="32"/>
          <w:shd w:val="clear" w:color="auto" w:fill="FFFFFF"/>
          <w:lang w:val="en-US" w:eastAsia="zh-CN"/>
        </w:rPr>
        <w:t>七、课程地点</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提供舒适、安静环境的场所，建议适量提供餐饮给学员们</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尊重并承认学习者是系统中有价值的人</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firstLine="560"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让学习成为一种美好的体验</w:t>
      </w:r>
    </w:p>
    <w:p>
      <w:pPr>
        <w:pStyle w:val="4"/>
        <w:keepNext w:val="0"/>
        <w:keepLines w:val="0"/>
        <w:pageBreakBefore w:val="0"/>
        <w:widowControl w:val="0"/>
        <w:suppressLineNumbers w:val="0"/>
        <w:kinsoku w:val="0"/>
        <w:wordWrap w:val="0"/>
        <w:overflowPunct/>
        <w:topLinePunct/>
        <w:autoSpaceDE/>
        <w:autoSpaceDN/>
        <w:bidi w:val="0"/>
        <w:adjustRightInd/>
        <w:snapToGrid/>
        <w:spacing w:beforeAutospacing="0" w:afterAutospacing="0" w:line="560" w:lineRule="exact"/>
        <w:ind w:left="0" w:right="0" w:firstLine="640" w:firstLineChars="200"/>
        <w:textAlignment w:val="auto"/>
        <w:rPr>
          <w:rStyle w:val="8"/>
          <w:rFonts w:hint="eastAsia" w:ascii="黑体" w:hAnsi="黑体" w:eastAsia="黑体" w:cs="黑体"/>
          <w:b w:val="0"/>
          <w:bCs w:val="0"/>
          <w:i w:val="0"/>
          <w:iCs w:val="0"/>
          <w:caps w:val="0"/>
          <w:color w:val="0F1115"/>
          <w:spacing w:val="0"/>
          <w:sz w:val="32"/>
          <w:szCs w:val="32"/>
          <w:shd w:val="clear" w:color="auto" w:fill="FFFFFF"/>
          <w:lang w:val="en-US" w:eastAsia="zh-CN"/>
        </w:rPr>
      </w:pPr>
      <w:r>
        <w:rPr>
          <w:rStyle w:val="8"/>
          <w:rFonts w:hint="eastAsia" w:ascii="黑体" w:hAnsi="黑体" w:eastAsia="黑体" w:cs="黑体"/>
          <w:b w:val="0"/>
          <w:bCs w:val="0"/>
          <w:i w:val="0"/>
          <w:iCs w:val="0"/>
          <w:caps w:val="0"/>
          <w:color w:val="0F1115"/>
          <w:spacing w:val="0"/>
          <w:sz w:val="32"/>
          <w:szCs w:val="32"/>
          <w:shd w:val="clear" w:color="auto" w:fill="FFFFFF"/>
          <w:lang w:val="en-US" w:eastAsia="zh-CN"/>
        </w:rPr>
        <w:t>八、课程评核</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教学课程评价：课后评核问卷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对学习和学习者评核：通过课堂作业展示和其他课堂讨论进行形成性评核</w:t>
      </w:r>
    </w:p>
    <w:p>
      <w:pPr>
        <w:pStyle w:val="4"/>
        <w:keepNext w:val="0"/>
        <w:keepLines w:val="0"/>
        <w:pageBreakBefore w:val="0"/>
        <w:widowControl w:val="0"/>
        <w:suppressLineNumbers w:val="0"/>
        <w:kinsoku w:val="0"/>
        <w:wordWrap w:val="0"/>
        <w:overflowPunct/>
        <w:topLinePunct/>
        <w:autoSpaceDE/>
        <w:autoSpaceDN/>
        <w:bidi w:val="0"/>
        <w:adjustRightInd/>
        <w:snapToGrid/>
        <w:spacing w:beforeAutospacing="0" w:afterAutospacing="0" w:line="560" w:lineRule="exact"/>
        <w:ind w:left="0" w:right="0" w:firstLine="640" w:firstLineChars="200"/>
        <w:textAlignment w:val="auto"/>
        <w:rPr>
          <w:rStyle w:val="8"/>
          <w:rFonts w:hint="eastAsia" w:ascii="黑体" w:hAnsi="黑体" w:eastAsia="黑体" w:cs="黑体"/>
          <w:b w:val="0"/>
          <w:bCs w:val="0"/>
          <w:i w:val="0"/>
          <w:iCs w:val="0"/>
          <w:caps w:val="0"/>
          <w:color w:val="0F1115"/>
          <w:spacing w:val="0"/>
          <w:sz w:val="32"/>
          <w:szCs w:val="32"/>
          <w:shd w:val="clear" w:color="auto" w:fill="FFFFFF"/>
          <w:lang w:val="en-US" w:eastAsia="zh-CN"/>
        </w:rPr>
      </w:pPr>
      <w:r>
        <w:rPr>
          <w:rStyle w:val="8"/>
          <w:rFonts w:hint="eastAsia" w:ascii="黑体" w:hAnsi="黑体" w:eastAsia="黑体" w:cs="黑体"/>
          <w:b w:val="0"/>
          <w:bCs w:val="0"/>
          <w:i w:val="0"/>
          <w:iCs w:val="0"/>
          <w:caps w:val="0"/>
          <w:color w:val="0F1115"/>
          <w:spacing w:val="0"/>
          <w:sz w:val="32"/>
          <w:szCs w:val="32"/>
          <w:shd w:val="clear" w:color="auto" w:fill="FFFFFF"/>
          <w:lang w:val="en-US" w:eastAsia="zh-CN"/>
        </w:rPr>
        <w:t>九、课前在线学习安排（2026年4月10月-5月7日）</w:t>
      </w:r>
    </w:p>
    <w:p>
      <w:pPr>
        <w:pStyle w:val="4"/>
        <w:keepNext w:val="0"/>
        <w:keepLines w:val="0"/>
        <w:pageBreakBefore w:val="0"/>
        <w:widowControl w:val="0"/>
        <w:numPr>
          <w:ilvl w:val="0"/>
          <w:numId w:val="0"/>
        </w:numPr>
        <w:suppressLineNumbers w:val="0"/>
        <w:kinsoku w:val="0"/>
        <w:wordWrap w:val="0"/>
        <w:overflowPunct/>
        <w:topLinePunct/>
        <w:autoSpaceDE/>
        <w:autoSpaceDN/>
        <w:bidi w:val="0"/>
        <w:adjustRightInd/>
        <w:snapToGrid/>
        <w:spacing w:beforeAutospacing="0" w:afterAutospacing="0" w:line="560" w:lineRule="exact"/>
        <w:ind w:leftChars="200" w:right="0" w:rightChars="0"/>
        <w:textAlignment w:val="auto"/>
        <w:rPr>
          <w:rStyle w:val="8"/>
          <w:rFonts w:hint="eastAsia" w:ascii="黑体" w:hAnsi="黑体" w:eastAsia="黑体" w:cs="黑体"/>
          <w:b w:val="0"/>
          <w:bCs w:val="0"/>
          <w:i w:val="0"/>
          <w:iCs w:val="0"/>
          <w:caps w:val="0"/>
          <w:color w:val="0F1115"/>
          <w:spacing w:val="0"/>
          <w:sz w:val="32"/>
          <w:szCs w:val="32"/>
          <w:shd w:val="clear" w:color="auto" w:fill="FFFFFF"/>
          <w:lang w:val="en-US" w:eastAsia="zh-CN"/>
        </w:rPr>
      </w:pPr>
    </w:p>
    <w:tbl>
      <w:tblPr>
        <w:tblStyle w:val="5"/>
        <w:tblW w:w="8331" w:type="dxa"/>
        <w:jc w:val="center"/>
        <w:tblLayout w:type="autofit"/>
        <w:tblCellMar>
          <w:top w:w="0" w:type="dxa"/>
          <w:left w:w="0" w:type="dxa"/>
          <w:bottom w:w="0" w:type="dxa"/>
          <w:right w:w="0" w:type="dxa"/>
        </w:tblCellMar>
      </w:tblPr>
      <w:tblGrid>
        <w:gridCol w:w="2315"/>
        <w:gridCol w:w="6016"/>
      </w:tblGrid>
      <w:tr>
        <w:tblPrEx>
          <w:tblCellMar>
            <w:top w:w="0" w:type="dxa"/>
            <w:left w:w="0" w:type="dxa"/>
            <w:bottom w:w="0" w:type="dxa"/>
            <w:right w:w="0" w:type="dxa"/>
          </w:tblCellMar>
        </w:tblPrEx>
        <w:trPr>
          <w:trHeight w:val="208" w:hRule="atLeast"/>
          <w:jc w:val="center"/>
        </w:trPr>
        <w:tc>
          <w:tcPr>
            <w:tcW w:w="2315" w:type="dxa"/>
            <w:tcBorders>
              <w:top w:val="single" w:color="FFFFFF" w:sz="8" w:space="0"/>
              <w:left w:val="single" w:color="FFFFFF" w:sz="8" w:space="0"/>
              <w:bottom w:val="single" w:color="FFFFFF" w:sz="24"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FFFF00"/>
                <w:sz w:val="32"/>
                <w:szCs w:val="32"/>
                <w:lang w:val="en-US" w:eastAsia="zh-CN"/>
              </w:rPr>
            </w:pPr>
            <w:r>
              <w:rPr>
                <w:rFonts w:hint="eastAsia" w:ascii="黑体" w:hAnsi="黑体" w:eastAsia="黑体" w:cs="黑体"/>
                <w:b/>
                <w:bCs/>
                <w:color w:val="FFFF00"/>
                <w:sz w:val="32"/>
                <w:szCs w:val="32"/>
                <w:lang w:val="en-US" w:eastAsia="zh-CN"/>
              </w:rPr>
              <w:t>学习单元</w:t>
            </w:r>
          </w:p>
        </w:tc>
        <w:tc>
          <w:tcPr>
            <w:tcW w:w="6016" w:type="dxa"/>
            <w:tcBorders>
              <w:top w:val="single" w:color="FFFFFF" w:sz="8" w:space="0"/>
              <w:left w:val="single" w:color="FFFFFF" w:sz="8" w:space="0"/>
              <w:bottom w:val="single" w:color="FFFFFF" w:sz="24"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center"/>
              <w:textAlignment w:val="auto"/>
              <w:rPr>
                <w:rFonts w:hint="eastAsia" w:ascii="黑体" w:hAnsi="黑体" w:eastAsia="黑体" w:cs="黑体"/>
                <w:b/>
                <w:bCs/>
                <w:color w:val="FFFF00"/>
                <w:sz w:val="32"/>
                <w:szCs w:val="32"/>
                <w:lang w:val="zh-CN"/>
              </w:rPr>
            </w:pPr>
            <w:r>
              <w:rPr>
                <w:rFonts w:hint="eastAsia" w:ascii="黑体" w:hAnsi="黑体" w:eastAsia="黑体" w:cs="黑体"/>
                <w:b/>
                <w:bCs/>
                <w:color w:val="FFFF00"/>
                <w:sz w:val="32"/>
                <w:szCs w:val="32"/>
              </w:rPr>
              <w:t>内容</w:t>
            </w:r>
          </w:p>
        </w:tc>
      </w:tr>
      <w:tr>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1a</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学习理论</w:t>
            </w:r>
          </w:p>
        </w:tc>
      </w:tr>
      <w:tr>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FFFFFF" w:themeColor="background1"/>
                <w:kern w:val="2"/>
                <w:sz w:val="28"/>
                <w:szCs w:val="28"/>
                <w:lang w:val="en-US" w:eastAsia="zh-CN" w:bidi="ar-SA"/>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1b</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当代趋势</w:t>
            </w:r>
          </w:p>
        </w:tc>
      </w:tr>
      <w:tr>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FFFFFF" w:themeColor="background1"/>
                <w:kern w:val="2"/>
                <w:sz w:val="28"/>
                <w:szCs w:val="28"/>
                <w:lang w:val="en-US" w:eastAsia="zh-CN" w:bidi="ar-SA"/>
                <w14:textFill>
                  <w14:solidFill>
                    <w14:schemeClr w14:val="bg1"/>
                  </w14:solidFill>
                </w14:textFill>
              </w:rPr>
            </w:pPr>
            <w:r>
              <w:rPr>
                <w:rFonts w:hint="eastAsia" w:ascii="仿宋_GB2312" w:hAnsi="仿宋_GB2312" w:eastAsia="仿宋_GB2312" w:cs="仿宋_GB2312"/>
                <w:b w:val="0"/>
                <w:bCs w:val="0"/>
                <w:color w:val="FFFFFF" w:themeColor="background1"/>
                <w:kern w:val="2"/>
                <w:sz w:val="28"/>
                <w:szCs w:val="28"/>
                <w:lang w:val="en-US" w:eastAsia="zh-CN" w:bidi="ar-SA"/>
                <w14:textFill>
                  <w14:solidFill>
                    <w14:schemeClr w14:val="bg1"/>
                  </w14:solidFill>
                </w14:textFill>
              </w:rPr>
              <w:t>2a</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授课方法</w:t>
            </w:r>
          </w:p>
        </w:tc>
      </w:tr>
      <w:tr>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2b</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课堂技巧</w:t>
            </w:r>
          </w:p>
        </w:tc>
      </w:tr>
      <w:tr>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2c</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学习材料</w:t>
            </w:r>
          </w:p>
        </w:tc>
      </w:tr>
      <w:tr>
        <w:tblPrEx>
          <w:tblCellMar>
            <w:top w:w="0" w:type="dxa"/>
            <w:left w:w="0" w:type="dxa"/>
            <w:bottom w:w="0" w:type="dxa"/>
            <w:right w:w="0" w:type="dxa"/>
          </w:tblCellMar>
        </w:tblPrEx>
        <w:trPr>
          <w:trHeight w:val="284"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2d</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小组学习</w:t>
            </w:r>
          </w:p>
        </w:tc>
      </w:tr>
      <w:tr>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FFFFFF" w:themeColor="background1"/>
                <w:sz w:val="28"/>
                <w:szCs w:val="28"/>
                <w:lang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3</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课程设计</w:t>
            </w:r>
          </w:p>
        </w:tc>
      </w:tr>
      <w:tr>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4a</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评核</w:t>
            </w:r>
          </w:p>
        </w:tc>
      </w:tr>
      <w:tr>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4b</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职场评核</w:t>
            </w:r>
          </w:p>
        </w:tc>
      </w:tr>
      <w:tr>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FFFFFF" w:themeColor="background1"/>
                <w:sz w:val="28"/>
                <w:szCs w:val="28"/>
                <w:lang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5</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反馈</w:t>
            </w:r>
          </w:p>
        </w:tc>
      </w:tr>
      <w:tr>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FFFFFF" w:themeColor="background1"/>
                <w:sz w:val="28"/>
                <w:szCs w:val="28"/>
                <w:lang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6</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帮助困难学员</w:t>
            </w:r>
          </w:p>
        </w:tc>
      </w:tr>
      <w:tr>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FFFFFF" w:themeColor="background1"/>
                <w:sz w:val="28"/>
                <w:szCs w:val="28"/>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7</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临床模拟训练</w:t>
            </w:r>
          </w:p>
        </w:tc>
      </w:tr>
      <w:tr>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bCs/>
                <w:color w:val="FFFFFF" w:themeColor="background1"/>
                <w:sz w:val="28"/>
                <w:szCs w:val="28"/>
                <w:lang w:val="en-US" w:eastAsia="zh-CN"/>
                <w14:textFill>
                  <w14:solidFill>
                    <w14:schemeClr w14:val="bg1"/>
                  </w14:solidFill>
                </w14:textFill>
              </w:rPr>
              <w:t>8</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课程评价</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contextualSpacing/>
        <w:jc w:val="left"/>
        <w:textAlignment w:val="auto"/>
        <w:rPr>
          <w:rFonts w:hint="eastAsia" w:ascii="仿宋_GB2312" w:hAnsi="仿宋_GB2312" w:eastAsia="仿宋_GB2312" w:cs="仿宋_GB2312"/>
          <w:b/>
          <w:bCs/>
          <w:lang w:val="en-US" w:eastAsia="zh-CN"/>
        </w:rPr>
      </w:pPr>
    </w:p>
    <w:p>
      <w:pPr>
        <w:pStyle w:val="4"/>
        <w:keepNext w:val="0"/>
        <w:keepLines w:val="0"/>
        <w:pageBreakBefore w:val="0"/>
        <w:widowControl w:val="0"/>
        <w:numPr>
          <w:ilvl w:val="0"/>
          <w:numId w:val="2"/>
        </w:numPr>
        <w:suppressLineNumbers w:val="0"/>
        <w:kinsoku w:val="0"/>
        <w:wordWrap w:val="0"/>
        <w:overflowPunct/>
        <w:topLinePunct/>
        <w:autoSpaceDE/>
        <w:autoSpaceDN/>
        <w:bidi w:val="0"/>
        <w:adjustRightInd/>
        <w:snapToGrid/>
        <w:spacing w:beforeAutospacing="0" w:afterAutospacing="0" w:line="560" w:lineRule="exact"/>
        <w:ind w:left="0" w:right="0" w:firstLine="640" w:firstLineChars="200"/>
        <w:textAlignment w:val="auto"/>
        <w:rPr>
          <w:rStyle w:val="8"/>
          <w:rFonts w:hint="eastAsia" w:ascii="黑体" w:hAnsi="黑体" w:eastAsia="黑体" w:cs="黑体"/>
          <w:b w:val="0"/>
          <w:bCs w:val="0"/>
          <w:i w:val="0"/>
          <w:iCs w:val="0"/>
          <w:caps w:val="0"/>
          <w:color w:val="0F1115"/>
          <w:spacing w:val="0"/>
          <w:sz w:val="32"/>
          <w:szCs w:val="32"/>
          <w:shd w:val="clear" w:color="auto" w:fill="FFFFFF"/>
          <w:lang w:val="en-US" w:eastAsia="zh-CN"/>
        </w:rPr>
      </w:pPr>
      <w:r>
        <w:rPr>
          <w:rStyle w:val="8"/>
          <w:rFonts w:hint="eastAsia" w:ascii="黑体" w:hAnsi="黑体" w:eastAsia="黑体" w:cs="黑体"/>
          <w:b w:val="0"/>
          <w:bCs w:val="0"/>
          <w:i w:val="0"/>
          <w:iCs w:val="0"/>
          <w:caps w:val="0"/>
          <w:color w:val="0F1115"/>
          <w:spacing w:val="0"/>
          <w:sz w:val="32"/>
          <w:szCs w:val="32"/>
          <w:shd w:val="clear" w:color="auto" w:fill="FFFFFF"/>
          <w:lang w:val="en-US" w:eastAsia="zh-CN"/>
        </w:rPr>
        <w:t>面对面线下工作坊课程安排（2026年5月8-9日）</w:t>
      </w:r>
    </w:p>
    <w:p>
      <w:pPr>
        <w:pStyle w:val="4"/>
        <w:keepNext w:val="0"/>
        <w:keepLines w:val="0"/>
        <w:pageBreakBefore w:val="0"/>
        <w:widowControl w:val="0"/>
        <w:numPr>
          <w:ilvl w:val="0"/>
          <w:numId w:val="0"/>
        </w:numPr>
        <w:suppressLineNumbers w:val="0"/>
        <w:kinsoku w:val="0"/>
        <w:wordWrap w:val="0"/>
        <w:overflowPunct/>
        <w:topLinePunct/>
        <w:autoSpaceDE/>
        <w:autoSpaceDN/>
        <w:bidi w:val="0"/>
        <w:adjustRightInd/>
        <w:snapToGrid/>
        <w:spacing w:beforeAutospacing="0" w:afterAutospacing="0" w:line="560" w:lineRule="exact"/>
        <w:ind w:leftChars="200" w:right="0" w:rightChars="0"/>
        <w:textAlignment w:val="auto"/>
        <w:rPr>
          <w:rStyle w:val="8"/>
          <w:rFonts w:hint="eastAsia" w:ascii="黑体" w:hAnsi="黑体" w:eastAsia="黑体" w:cs="黑体"/>
          <w:b w:val="0"/>
          <w:bCs w:val="0"/>
          <w:i w:val="0"/>
          <w:iCs w:val="0"/>
          <w:caps w:val="0"/>
          <w:color w:val="0F1115"/>
          <w:spacing w:val="0"/>
          <w:sz w:val="32"/>
          <w:szCs w:val="32"/>
          <w:shd w:val="clear" w:color="auto" w:fill="FFFFFF"/>
          <w:lang w:val="en-US" w:eastAsia="zh-CN"/>
        </w:rPr>
      </w:pPr>
    </w:p>
    <w:tbl>
      <w:tblPr>
        <w:tblStyle w:val="5"/>
        <w:tblW w:w="8704" w:type="dxa"/>
        <w:jc w:val="center"/>
        <w:tblLayout w:type="autofit"/>
        <w:tblCellMar>
          <w:top w:w="0" w:type="dxa"/>
          <w:left w:w="0" w:type="dxa"/>
          <w:bottom w:w="0" w:type="dxa"/>
          <w:right w:w="0" w:type="dxa"/>
        </w:tblCellMar>
      </w:tblPr>
      <w:tblGrid>
        <w:gridCol w:w="2199"/>
        <w:gridCol w:w="4007"/>
        <w:gridCol w:w="2498"/>
      </w:tblGrid>
      <w:tr>
        <w:tblPrEx>
          <w:tblCellMar>
            <w:top w:w="0" w:type="dxa"/>
            <w:left w:w="0" w:type="dxa"/>
            <w:bottom w:w="0" w:type="dxa"/>
            <w:right w:w="0" w:type="dxa"/>
          </w:tblCellMar>
        </w:tblPrEx>
        <w:trPr>
          <w:trHeight w:val="208" w:hRule="atLeast"/>
          <w:jc w:val="center"/>
        </w:trPr>
        <w:tc>
          <w:tcPr>
            <w:tcW w:w="2199" w:type="dxa"/>
            <w:tcBorders>
              <w:top w:val="single" w:color="FFFFFF" w:sz="8" w:space="0"/>
              <w:left w:val="single" w:color="FFFFFF" w:sz="8" w:space="0"/>
              <w:bottom w:val="single" w:color="FFFFFF" w:sz="24" w:space="0"/>
              <w:right w:val="single" w:color="FFFFFF" w:sz="8" w:space="0"/>
            </w:tcBorders>
            <w:shd w:val="clear" w:color="auto" w:fill="4472C4"/>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FFFF00"/>
                <w:sz w:val="32"/>
                <w:szCs w:val="32"/>
                <w:lang w:val="zh-CN" w:eastAsia="zh-CN"/>
              </w:rPr>
            </w:pPr>
            <w:r>
              <w:rPr>
                <w:rFonts w:hint="eastAsia" w:ascii="黑体" w:hAnsi="黑体" w:eastAsia="黑体" w:cs="黑体"/>
                <w:b/>
                <w:bCs/>
                <w:color w:val="FFFF00"/>
                <w:sz w:val="32"/>
                <w:szCs w:val="32"/>
                <w:lang w:val="en-US" w:eastAsia="zh-CN"/>
              </w:rPr>
              <w:t>时间</w:t>
            </w:r>
          </w:p>
        </w:tc>
        <w:tc>
          <w:tcPr>
            <w:tcW w:w="4007" w:type="dxa"/>
            <w:tcBorders>
              <w:top w:val="single" w:color="FFFFFF" w:sz="8" w:space="0"/>
              <w:left w:val="single" w:color="FFFFFF" w:sz="8" w:space="0"/>
              <w:bottom w:val="single" w:color="FFFFFF" w:sz="24" w:space="0"/>
              <w:right w:val="single" w:color="FFFFFF" w:sz="8" w:space="0"/>
            </w:tcBorders>
            <w:shd w:val="clear" w:color="auto" w:fill="4472C4"/>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FFFF00"/>
                <w:sz w:val="32"/>
                <w:szCs w:val="32"/>
                <w:lang w:val="zh-CN" w:eastAsia="zh-CN"/>
              </w:rPr>
            </w:pPr>
            <w:r>
              <w:rPr>
                <w:rFonts w:hint="eastAsia" w:ascii="黑体" w:hAnsi="黑体" w:eastAsia="黑体" w:cs="黑体"/>
                <w:b/>
                <w:bCs/>
                <w:color w:val="FFFF00"/>
                <w:sz w:val="32"/>
                <w:szCs w:val="32"/>
                <w:lang w:val="en-US" w:eastAsia="zh-CN"/>
              </w:rPr>
              <w:t>内容</w:t>
            </w:r>
          </w:p>
        </w:tc>
        <w:tc>
          <w:tcPr>
            <w:tcW w:w="2498" w:type="dxa"/>
            <w:tcBorders>
              <w:top w:val="single" w:color="FFFFFF" w:sz="8" w:space="0"/>
              <w:left w:val="single" w:color="FFFFFF" w:sz="8" w:space="0"/>
              <w:bottom w:val="single" w:color="FFFFFF" w:sz="24" w:space="0"/>
              <w:right w:val="single" w:color="FFFFFF" w:sz="8" w:space="0"/>
            </w:tcBorders>
            <w:shd w:val="clear" w:color="auto" w:fill="4472C4"/>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FFFF00"/>
                <w:sz w:val="32"/>
                <w:szCs w:val="32"/>
                <w:lang w:val="zh-CN" w:eastAsia="zh-CN"/>
              </w:rPr>
            </w:pPr>
            <w:r>
              <w:rPr>
                <w:rFonts w:hint="eastAsia" w:ascii="黑体" w:hAnsi="黑体" w:eastAsia="黑体" w:cs="黑体"/>
                <w:b/>
                <w:bCs/>
                <w:color w:val="FFFF00"/>
                <w:sz w:val="32"/>
                <w:szCs w:val="32"/>
                <w:lang w:val="zh-CN" w:eastAsia="zh-CN"/>
              </w:rPr>
              <w:t>形式</w:t>
            </w:r>
          </w:p>
        </w:tc>
      </w:tr>
      <w:tr>
        <w:tblPrEx>
          <w:tblCellMar>
            <w:top w:w="0" w:type="dxa"/>
            <w:left w:w="0" w:type="dxa"/>
            <w:bottom w:w="0" w:type="dxa"/>
            <w:right w:w="0" w:type="dxa"/>
          </w:tblCellMar>
        </w:tblPrEx>
        <w:trPr>
          <w:trHeight w:val="17" w:hRule="atLeast"/>
          <w:jc w:val="center"/>
        </w:trPr>
        <w:tc>
          <w:tcPr>
            <w:tcW w:w="2199" w:type="dxa"/>
            <w:tcBorders>
              <w:top w:val="single" w:color="FFFFFF" w:sz="24"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zh-CN" w:eastAsia="zh-CN"/>
              </w:rPr>
            </w:pPr>
            <w:r>
              <w:rPr>
                <w:rFonts w:hint="eastAsia" w:ascii="仿宋_GB2312" w:hAnsi="仿宋_GB2312" w:eastAsia="仿宋_GB2312" w:cs="仿宋_GB2312"/>
                <w:b w:val="0"/>
                <w:bCs w:val="0"/>
                <w:sz w:val="28"/>
                <w:szCs w:val="28"/>
                <w:lang w:val="zh-CN" w:eastAsia="zh-CN"/>
              </w:rPr>
              <w:t>第一天下午</w:t>
            </w:r>
          </w:p>
        </w:tc>
        <w:tc>
          <w:tcPr>
            <w:tcW w:w="4007" w:type="dxa"/>
            <w:tcBorders>
              <w:top w:val="single" w:color="FFFFFF" w:sz="24"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zh-CN" w:eastAsia="zh-CN"/>
              </w:rPr>
            </w:pPr>
          </w:p>
        </w:tc>
        <w:tc>
          <w:tcPr>
            <w:tcW w:w="2498" w:type="dxa"/>
            <w:tcBorders>
              <w:top w:val="single" w:color="FFFFFF" w:sz="24"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zh-CN" w:eastAsia="zh-CN"/>
              </w:rPr>
            </w:pPr>
          </w:p>
        </w:tc>
      </w:tr>
      <w:tr>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zh-CN" w:eastAsia="zh-CN"/>
              </w:rPr>
            </w:pPr>
            <w:r>
              <w:rPr>
                <w:rFonts w:hint="eastAsia" w:ascii="仿宋_GB2312" w:hAnsi="仿宋_GB2312" w:eastAsia="仿宋_GB2312" w:cs="仿宋_GB2312"/>
                <w:b w:val="0"/>
                <w:bCs w:val="0"/>
                <w:sz w:val="28"/>
                <w:szCs w:val="28"/>
                <w:lang w:val="zh-CN" w:eastAsia="zh-CN"/>
              </w:rPr>
              <w:t>13</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lang w:val="zh-CN" w:eastAsia="zh-CN"/>
              </w:rPr>
              <w:t>00-14</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lang w:val="zh-CN" w:eastAsia="zh-CN"/>
              </w:rPr>
              <w:t>00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zh-CN" w:eastAsia="zh-CN"/>
              </w:rPr>
            </w:pPr>
            <w:r>
              <w:rPr>
                <w:rFonts w:hint="eastAsia" w:ascii="仿宋_GB2312" w:hAnsi="仿宋_GB2312" w:eastAsia="仿宋_GB2312" w:cs="仿宋_GB2312"/>
                <w:b w:val="0"/>
                <w:bCs w:val="0"/>
                <w:sz w:val="28"/>
                <w:szCs w:val="28"/>
                <w:lang w:val="en-US" w:eastAsia="zh-CN"/>
              </w:rPr>
              <w:t>课前准备和登记</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zh-CN" w:eastAsia="zh-CN"/>
              </w:rPr>
            </w:pPr>
          </w:p>
        </w:tc>
      </w:tr>
      <w:tr>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zh-CN" w:eastAsia="zh-CN"/>
              </w:rPr>
            </w:pPr>
            <w:r>
              <w:rPr>
                <w:rFonts w:hint="eastAsia" w:ascii="仿宋_GB2312" w:hAnsi="仿宋_GB2312" w:eastAsia="仿宋_GB2312" w:cs="仿宋_GB2312"/>
                <w:b w:val="0"/>
                <w:bCs w:val="0"/>
                <w:sz w:val="28"/>
                <w:szCs w:val="28"/>
                <w:lang w:val="zh-CN" w:eastAsia="zh-CN"/>
              </w:rPr>
              <w:t>14</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lang w:val="zh-CN" w:eastAsia="zh-CN"/>
              </w:rPr>
              <w:t>00-14</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lang w:val="zh-CN" w:eastAsia="zh-CN"/>
              </w:rPr>
              <w:t>50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zh-CN" w:eastAsia="zh-CN"/>
              </w:rPr>
            </w:pPr>
            <w:r>
              <w:rPr>
                <w:rFonts w:hint="eastAsia" w:ascii="仿宋_GB2312" w:hAnsi="仿宋_GB2312" w:eastAsia="仿宋_GB2312" w:cs="仿宋_GB2312"/>
                <w:b w:val="0"/>
                <w:bCs w:val="0"/>
                <w:sz w:val="28"/>
                <w:szCs w:val="28"/>
                <w:lang w:val="en-US" w:eastAsia="zh-CN"/>
              </w:rPr>
              <w:t>自我介绍、破冰和学习回顾</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center"/>
              <w:textAlignment w:val="auto"/>
              <w:rPr>
                <w:rFonts w:hint="eastAsia" w:ascii="仿宋_GB2312" w:hAnsi="仿宋_GB2312" w:eastAsia="仿宋_GB2312" w:cs="仿宋_GB2312"/>
                <w:b w:val="0"/>
                <w:bCs w:val="0"/>
                <w:sz w:val="28"/>
                <w:szCs w:val="28"/>
                <w:lang w:val="zh-CN" w:eastAsia="zh-CN"/>
              </w:rPr>
            </w:pPr>
            <w:r>
              <w:rPr>
                <w:rFonts w:hint="eastAsia" w:ascii="仿宋_GB2312" w:hAnsi="仿宋_GB2312" w:eastAsia="仿宋_GB2312" w:cs="仿宋_GB2312"/>
                <w:b w:val="0"/>
                <w:bCs w:val="0"/>
                <w:sz w:val="28"/>
                <w:szCs w:val="28"/>
                <w:lang w:val="zh-CN" w:eastAsia="zh-CN"/>
              </w:rPr>
              <w:t>全班互动</w:t>
            </w:r>
          </w:p>
        </w:tc>
      </w:tr>
      <w:tr>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14:50-15:00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休息</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p>
        </w:tc>
      </w:tr>
      <w:tr>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15:00-15:30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授课方法</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分组讨论、互动</w:t>
            </w:r>
          </w:p>
        </w:tc>
      </w:tr>
      <w:tr>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15:30-15:50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课堂技巧</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全班互动</w:t>
            </w:r>
          </w:p>
        </w:tc>
      </w:tr>
      <w:tr>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15:50-16:00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休息</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p>
        </w:tc>
      </w:tr>
      <w:tr>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16:00-16:30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缺口分析</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分组讨论、互动</w:t>
            </w:r>
          </w:p>
        </w:tc>
      </w:tr>
      <w:tr>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16:30-16:50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帮助困难学员</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分组讨论、互动</w:t>
            </w:r>
          </w:p>
        </w:tc>
      </w:tr>
      <w:tr>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16:50-17:00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休息</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p>
        </w:tc>
      </w:tr>
      <w:tr>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17:00-17:30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反馈（1）</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全班互动</w:t>
            </w:r>
          </w:p>
        </w:tc>
      </w:tr>
      <w:tr>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17:30-18:00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课后问答</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自由参与</w:t>
            </w:r>
          </w:p>
        </w:tc>
      </w:tr>
      <w:tr>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第二天全天</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p>
        </w:tc>
      </w:tr>
      <w:tr>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08:30-09:30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理论应用分享</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分组讨论、互动</w:t>
            </w:r>
          </w:p>
        </w:tc>
      </w:tr>
      <w:tr>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09:30-09:40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休息</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p>
        </w:tc>
      </w:tr>
      <w:tr>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09:40-12:40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反馈（2）</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情景个案练习、互动</w:t>
            </w:r>
          </w:p>
        </w:tc>
      </w:tr>
      <w:tr>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12:40-14:00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午餐</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p>
        </w:tc>
      </w:tr>
      <w:tr>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14:00-15:00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课程设计</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分组作业</w:t>
            </w:r>
          </w:p>
        </w:tc>
      </w:tr>
      <w:tr>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15:00-15:10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休息</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p>
        </w:tc>
      </w:tr>
      <w:tr>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15:10-16:30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作业报告</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互动</w:t>
            </w:r>
          </w:p>
        </w:tc>
      </w:tr>
      <w:tr>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16:30-17:00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课程平和，总结</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全班互动</w:t>
            </w:r>
          </w:p>
        </w:tc>
      </w:tr>
      <w:tr>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17:00-18:00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课后问答</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自由参与</w:t>
            </w:r>
          </w:p>
        </w:tc>
      </w:tr>
    </w:tbl>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1" w:firstLineChars="200"/>
        <w:jc w:val="center"/>
        <w:textAlignment w:val="auto"/>
        <w:rPr>
          <w:rFonts w:hint="eastAsia" w:ascii="仿宋_GB2312" w:hAnsi="仿宋_GB2312" w:eastAsia="仿宋_GB2312" w:cs="仿宋_GB2312"/>
          <w:b/>
          <w:bCs/>
        </w:rPr>
      </w:pPr>
    </w:p>
    <w:sectPr>
      <w:pgSz w:w="11906" w:h="16838"/>
      <w:pgMar w:top="2098" w:right="1531" w:bottom="1440"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方正小标宋_GBK"/>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CE76D6"/>
    <w:multiLevelType w:val="singleLevel"/>
    <w:tmpl w:val="76CE76D6"/>
    <w:lvl w:ilvl="0" w:tentative="0">
      <w:start w:val="10"/>
      <w:numFmt w:val="chineseCounting"/>
      <w:suff w:val="nothing"/>
      <w:lvlText w:val="%1、"/>
      <w:lvlJc w:val="left"/>
      <w:rPr>
        <w:rFonts w:hint="eastAsia"/>
      </w:rPr>
    </w:lvl>
  </w:abstractNum>
  <w:abstractNum w:abstractNumId="1">
    <w:nsid w:val="78580CF3"/>
    <w:multiLevelType w:val="multilevel"/>
    <w:tmpl w:val="78580CF3"/>
    <w:lvl w:ilvl="0" w:tentative="0">
      <w:start w:val="1"/>
      <w:numFmt w:val="decimal"/>
      <w:lvlText w:val="%1."/>
      <w:lvlJc w:val="left"/>
      <w:pPr>
        <w:ind w:left="1140" w:hanging="360"/>
      </w:pPr>
    </w:lvl>
    <w:lvl w:ilvl="1" w:tentative="0">
      <w:start w:val="1"/>
      <w:numFmt w:val="lowerLetter"/>
      <w:lvlText w:val="%2."/>
      <w:lvlJc w:val="left"/>
      <w:pPr>
        <w:ind w:left="1860" w:hanging="360"/>
      </w:pPr>
    </w:lvl>
    <w:lvl w:ilvl="2" w:tentative="0">
      <w:start w:val="1"/>
      <w:numFmt w:val="lowerRoman"/>
      <w:lvlText w:val="%3."/>
      <w:lvlJc w:val="right"/>
      <w:pPr>
        <w:ind w:left="2580" w:hanging="180"/>
      </w:pPr>
    </w:lvl>
    <w:lvl w:ilvl="3" w:tentative="0">
      <w:start w:val="1"/>
      <w:numFmt w:val="decimal"/>
      <w:lvlText w:val="%4."/>
      <w:lvlJc w:val="left"/>
      <w:pPr>
        <w:ind w:left="3300" w:hanging="360"/>
      </w:pPr>
    </w:lvl>
    <w:lvl w:ilvl="4" w:tentative="0">
      <w:start w:val="1"/>
      <w:numFmt w:val="lowerLetter"/>
      <w:lvlText w:val="%5."/>
      <w:lvlJc w:val="left"/>
      <w:pPr>
        <w:ind w:left="4020" w:hanging="360"/>
      </w:pPr>
    </w:lvl>
    <w:lvl w:ilvl="5" w:tentative="0">
      <w:start w:val="1"/>
      <w:numFmt w:val="lowerRoman"/>
      <w:lvlText w:val="%6."/>
      <w:lvlJc w:val="right"/>
      <w:pPr>
        <w:ind w:left="4740" w:hanging="180"/>
      </w:pPr>
    </w:lvl>
    <w:lvl w:ilvl="6" w:tentative="0">
      <w:start w:val="1"/>
      <w:numFmt w:val="decimal"/>
      <w:lvlText w:val="%7."/>
      <w:lvlJc w:val="left"/>
      <w:pPr>
        <w:ind w:left="5460" w:hanging="360"/>
      </w:pPr>
    </w:lvl>
    <w:lvl w:ilvl="7" w:tentative="0">
      <w:start w:val="1"/>
      <w:numFmt w:val="lowerLetter"/>
      <w:lvlText w:val="%8."/>
      <w:lvlJc w:val="left"/>
      <w:pPr>
        <w:ind w:left="6180" w:hanging="360"/>
      </w:pPr>
    </w:lvl>
    <w:lvl w:ilvl="8" w:tentative="0">
      <w:start w:val="1"/>
      <w:numFmt w:val="lowerRoman"/>
      <w:lvlText w:val="%9."/>
      <w:lvlJc w:val="right"/>
      <w:pPr>
        <w:ind w:left="69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37"/>
    <w:rsid w:val="00010C3D"/>
    <w:rsid w:val="000219B1"/>
    <w:rsid w:val="00024318"/>
    <w:rsid w:val="000449E1"/>
    <w:rsid w:val="00084138"/>
    <w:rsid w:val="00084B52"/>
    <w:rsid w:val="000E1702"/>
    <w:rsid w:val="00132E39"/>
    <w:rsid w:val="00133FE9"/>
    <w:rsid w:val="001454F4"/>
    <w:rsid w:val="00187008"/>
    <w:rsid w:val="00192FE5"/>
    <w:rsid w:val="001C0D2C"/>
    <w:rsid w:val="001D04AB"/>
    <w:rsid w:val="001E79B9"/>
    <w:rsid w:val="001F19AA"/>
    <w:rsid w:val="00230837"/>
    <w:rsid w:val="00251FEF"/>
    <w:rsid w:val="00253B39"/>
    <w:rsid w:val="00266AA3"/>
    <w:rsid w:val="00271188"/>
    <w:rsid w:val="0028738B"/>
    <w:rsid w:val="002D49E1"/>
    <w:rsid w:val="002D69C9"/>
    <w:rsid w:val="002E3D5A"/>
    <w:rsid w:val="00303BBD"/>
    <w:rsid w:val="00312688"/>
    <w:rsid w:val="00345A47"/>
    <w:rsid w:val="0035179E"/>
    <w:rsid w:val="003737E9"/>
    <w:rsid w:val="003963D9"/>
    <w:rsid w:val="003A003F"/>
    <w:rsid w:val="003D345D"/>
    <w:rsid w:val="003F3403"/>
    <w:rsid w:val="00402AA1"/>
    <w:rsid w:val="004072AA"/>
    <w:rsid w:val="00431370"/>
    <w:rsid w:val="004350EA"/>
    <w:rsid w:val="004412D2"/>
    <w:rsid w:val="00443EED"/>
    <w:rsid w:val="00460EE1"/>
    <w:rsid w:val="004A6244"/>
    <w:rsid w:val="004B2119"/>
    <w:rsid w:val="004B4574"/>
    <w:rsid w:val="004C1491"/>
    <w:rsid w:val="004C7091"/>
    <w:rsid w:val="004D2789"/>
    <w:rsid w:val="00501B22"/>
    <w:rsid w:val="00525E36"/>
    <w:rsid w:val="005350C6"/>
    <w:rsid w:val="00583FE2"/>
    <w:rsid w:val="005947FF"/>
    <w:rsid w:val="005950F1"/>
    <w:rsid w:val="005E7A32"/>
    <w:rsid w:val="005E7BDF"/>
    <w:rsid w:val="006054CD"/>
    <w:rsid w:val="00607CE9"/>
    <w:rsid w:val="0061473B"/>
    <w:rsid w:val="00616C75"/>
    <w:rsid w:val="00657C04"/>
    <w:rsid w:val="00664325"/>
    <w:rsid w:val="00685FC4"/>
    <w:rsid w:val="00696F16"/>
    <w:rsid w:val="006A7980"/>
    <w:rsid w:val="006D77FB"/>
    <w:rsid w:val="006F6B03"/>
    <w:rsid w:val="00703A16"/>
    <w:rsid w:val="007309E3"/>
    <w:rsid w:val="00736A7E"/>
    <w:rsid w:val="00752C37"/>
    <w:rsid w:val="00762545"/>
    <w:rsid w:val="0076512C"/>
    <w:rsid w:val="00775CB1"/>
    <w:rsid w:val="00782D0C"/>
    <w:rsid w:val="007A3D17"/>
    <w:rsid w:val="007B40D2"/>
    <w:rsid w:val="007C7BC6"/>
    <w:rsid w:val="007D0C91"/>
    <w:rsid w:val="007F76B9"/>
    <w:rsid w:val="00817682"/>
    <w:rsid w:val="008176D6"/>
    <w:rsid w:val="00837702"/>
    <w:rsid w:val="00880784"/>
    <w:rsid w:val="00881171"/>
    <w:rsid w:val="008A7E08"/>
    <w:rsid w:val="008C7C84"/>
    <w:rsid w:val="00907FA9"/>
    <w:rsid w:val="00914957"/>
    <w:rsid w:val="0092638B"/>
    <w:rsid w:val="00942C5E"/>
    <w:rsid w:val="00945AC5"/>
    <w:rsid w:val="0095328D"/>
    <w:rsid w:val="00964DC4"/>
    <w:rsid w:val="009650F2"/>
    <w:rsid w:val="00970335"/>
    <w:rsid w:val="00984065"/>
    <w:rsid w:val="009B41D4"/>
    <w:rsid w:val="009D2BCB"/>
    <w:rsid w:val="00A22D4E"/>
    <w:rsid w:val="00A34A8B"/>
    <w:rsid w:val="00A53D44"/>
    <w:rsid w:val="00A552ED"/>
    <w:rsid w:val="00A62C8A"/>
    <w:rsid w:val="00A64E7F"/>
    <w:rsid w:val="00A96D17"/>
    <w:rsid w:val="00AB5D2B"/>
    <w:rsid w:val="00AB5F4D"/>
    <w:rsid w:val="00AC40C1"/>
    <w:rsid w:val="00AC4460"/>
    <w:rsid w:val="00AD7DC3"/>
    <w:rsid w:val="00AE0064"/>
    <w:rsid w:val="00AE112E"/>
    <w:rsid w:val="00B014C8"/>
    <w:rsid w:val="00B2764D"/>
    <w:rsid w:val="00B306C4"/>
    <w:rsid w:val="00B661C4"/>
    <w:rsid w:val="00B726BB"/>
    <w:rsid w:val="00BA5F1C"/>
    <w:rsid w:val="00BB75CF"/>
    <w:rsid w:val="00BC0EE0"/>
    <w:rsid w:val="00BC13C1"/>
    <w:rsid w:val="00BC4982"/>
    <w:rsid w:val="00C10777"/>
    <w:rsid w:val="00C1654B"/>
    <w:rsid w:val="00C211FD"/>
    <w:rsid w:val="00C26B14"/>
    <w:rsid w:val="00C30726"/>
    <w:rsid w:val="00C47D4D"/>
    <w:rsid w:val="00C54731"/>
    <w:rsid w:val="00C55816"/>
    <w:rsid w:val="00C6784B"/>
    <w:rsid w:val="00C70134"/>
    <w:rsid w:val="00C77A2A"/>
    <w:rsid w:val="00CA5F26"/>
    <w:rsid w:val="00CB2ADA"/>
    <w:rsid w:val="00CB441A"/>
    <w:rsid w:val="00CC33C3"/>
    <w:rsid w:val="00CF06BA"/>
    <w:rsid w:val="00CF4625"/>
    <w:rsid w:val="00D332F0"/>
    <w:rsid w:val="00D77AAF"/>
    <w:rsid w:val="00D80826"/>
    <w:rsid w:val="00D86850"/>
    <w:rsid w:val="00DB3551"/>
    <w:rsid w:val="00DD0078"/>
    <w:rsid w:val="00DE02D8"/>
    <w:rsid w:val="00DE6374"/>
    <w:rsid w:val="00E12953"/>
    <w:rsid w:val="00E720BD"/>
    <w:rsid w:val="00E86FEE"/>
    <w:rsid w:val="00EB31DD"/>
    <w:rsid w:val="00EB5FB9"/>
    <w:rsid w:val="00EC075E"/>
    <w:rsid w:val="00F13947"/>
    <w:rsid w:val="00F47055"/>
    <w:rsid w:val="00F6600C"/>
    <w:rsid w:val="00F74FB0"/>
    <w:rsid w:val="00F948B8"/>
    <w:rsid w:val="00FA21FF"/>
    <w:rsid w:val="00FB0DB1"/>
    <w:rsid w:val="00FC5092"/>
    <w:rsid w:val="00FD28C7"/>
    <w:rsid w:val="00FE5C37"/>
    <w:rsid w:val="01592D01"/>
    <w:rsid w:val="05583BF8"/>
    <w:rsid w:val="05760640"/>
    <w:rsid w:val="094D254F"/>
    <w:rsid w:val="0C801A57"/>
    <w:rsid w:val="0F4B48EC"/>
    <w:rsid w:val="16CE41BE"/>
    <w:rsid w:val="17DF02C7"/>
    <w:rsid w:val="17F04679"/>
    <w:rsid w:val="1ADE70EE"/>
    <w:rsid w:val="1C73173D"/>
    <w:rsid w:val="1E2E5632"/>
    <w:rsid w:val="266F105E"/>
    <w:rsid w:val="28560DA9"/>
    <w:rsid w:val="29CC4423"/>
    <w:rsid w:val="2B2109F1"/>
    <w:rsid w:val="2DEE2BBA"/>
    <w:rsid w:val="2FA5374C"/>
    <w:rsid w:val="3093094D"/>
    <w:rsid w:val="32A221C5"/>
    <w:rsid w:val="35EB5C31"/>
    <w:rsid w:val="3C77021F"/>
    <w:rsid w:val="3D112421"/>
    <w:rsid w:val="41594397"/>
    <w:rsid w:val="4D9F75D5"/>
    <w:rsid w:val="522D51B0"/>
    <w:rsid w:val="54064B5A"/>
    <w:rsid w:val="596C23A1"/>
    <w:rsid w:val="597072EF"/>
    <w:rsid w:val="5C875D40"/>
    <w:rsid w:val="5DA14CA4"/>
    <w:rsid w:val="5FA230C0"/>
    <w:rsid w:val="5FEF7F48"/>
    <w:rsid w:val="60623AEF"/>
    <w:rsid w:val="61B34FA6"/>
    <w:rsid w:val="62F578A1"/>
    <w:rsid w:val="6BC229B5"/>
    <w:rsid w:val="6D7D4DE5"/>
    <w:rsid w:val="757840E4"/>
    <w:rsid w:val="75862CA5"/>
    <w:rsid w:val="76C159E1"/>
    <w:rsid w:val="FEDBC19E"/>
    <w:rsid w:val="FEE39922"/>
    <w:rsid w:val="FF6CC1A8"/>
    <w:rsid w:val="FF6FEA4B"/>
    <w:rsid w:val="FFCFF951"/>
    <w:rsid w:val="FFFD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character" w:customStyle="1" w:styleId="10">
    <w:name w:val="Header Char"/>
    <w:basedOn w:val="7"/>
    <w:link w:val="3"/>
    <w:semiHidden/>
    <w:qFormat/>
    <w:uiPriority w:val="99"/>
    <w:rPr>
      <w:sz w:val="18"/>
      <w:szCs w:val="18"/>
    </w:rPr>
  </w:style>
  <w:style w:type="character" w:customStyle="1" w:styleId="11">
    <w:name w:val="Footer Char"/>
    <w:basedOn w:val="7"/>
    <w:link w:val="2"/>
    <w:semiHidden/>
    <w:qFormat/>
    <w:uiPriority w:val="99"/>
    <w:rPr>
      <w:sz w:val="18"/>
      <w:szCs w:val="18"/>
    </w:rPr>
  </w:style>
  <w:style w:type="character" w:styleId="12">
    <w:name w:val="Placeholder Text"/>
    <w:basedOn w:val="7"/>
    <w:semiHidden/>
    <w:qFormat/>
    <w:uiPriority w:val="99"/>
    <w:rPr>
      <w:color w:val="666666"/>
    </w:rPr>
  </w:style>
  <w:style w:type="paragraph" w:customStyle="1" w:styleId="13">
    <w:name w:val=" 黑体"/>
    <w:basedOn w:val="1"/>
    <w:uiPriority w:val="0"/>
    <w:rPr>
      <w:rFonts w:hint="eastAsia" w:ascii="黑体" w:hAnsi="黑体" w:eastAsia="黑体" w:cs="黑体"/>
      <w:sz w:val="32"/>
    </w:rPr>
  </w:style>
  <w:style w:type="paragraph" w:customStyle="1" w:styleId="14">
    <w:name w:val=" 仿宋_GB2312"/>
    <w:basedOn w:val="1"/>
    <w:uiPriority w:val="0"/>
    <w:rPr>
      <w:rFonts w:hint="eastAsia" w:ascii="仿宋_GB2312" w:hAnsi="仿宋_GB2312" w:eastAsia="仿宋_GB2312" w:cs="仿宋_GB2312"/>
      <w:sz w:val="32"/>
    </w:rPr>
  </w:style>
  <w:style w:type="paragraph" w:customStyle="1" w:styleId="15">
    <w:name w:val=" 楷体_GB2312"/>
    <w:basedOn w:val="1"/>
    <w:uiPriority w:val="0"/>
    <w:rPr>
      <w:rFonts w:hint="eastAsia" w:ascii="楷体_GB2312" w:hAnsi="楷体_GB2312" w:eastAsia="楷体_GB2312" w:cs="楷体_GB2312"/>
      <w:sz w:val="32"/>
    </w:rPr>
  </w:style>
  <w:style w:type="paragraph" w:customStyle="1" w:styleId="16">
    <w:name w:val=" 方正小标宋简体"/>
    <w:basedOn w:val="1"/>
    <w:uiPriority w:val="0"/>
    <w:rPr>
      <w:rFonts w:hint="eastAsia" w:ascii="方正小标宋简体" w:hAnsi="方正小标宋简体" w:eastAsia="方正小标宋简体" w:cs="方正小标宋简体"/>
      <w:sz w:val="32"/>
    </w:rPr>
  </w:style>
  <w:style w:type="paragraph" w:customStyle="1" w:styleId="17">
    <w:name w:val=" 方正小标宋_GBK"/>
    <w:basedOn w:val="1"/>
    <w:uiPriority w:val="0"/>
    <w:rPr>
      <w:rFonts w:hint="eastAsia" w:ascii="方正小标宋_GBK”" w:hAnsi="方正小标宋_GBK”" w:eastAsia="方正小标宋_GBK”" w:cs="方正小标宋_GBK”"/>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1646</Words>
  <Characters>1939</Characters>
  <Lines>14</Lines>
  <Paragraphs>4</Paragraphs>
  <TotalTime>1308</TotalTime>
  <ScaleCrop>false</ScaleCrop>
  <LinksUpToDate>false</LinksUpToDate>
  <CharactersWithSpaces>1970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2025-01-16T19:13:00Z</dcterms:created>
  <dc:creator>YF</dc:creator>
  <cp:lastModifiedBy>zhouwei</cp:lastModifiedBy>
  <dcterms:modified xsi:type="dcterms:W3CDTF">2026-04-01T15:01:32Z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eyJoZGlkIjoiODZlYTc4OGI2NTYyYTEwY2NkNDA4MTkwZjQyYjNiYTMiLCJ1c2VySWQiOiIyMzQwNjczNDIifQ==</vt:lpwstr>
  </property>
  <property fmtid="{D5CDD505-2E9C-101B-9397-08002B2CF9AE}" pid="3" name="KSOProductBuildVer">
    <vt:lpwstr>2052-11.8.2.10458</vt:lpwstr>
  </property>
  <property fmtid="{D5CDD505-2E9C-101B-9397-08002B2CF9AE}" pid="4" name="ICV">
    <vt:lpwstr>7D6EA70965714C9586ADA8E564FC0D47_13</vt:lpwstr>
  </property>
</Properties>
</file>