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8EBD2" w14:textId="77777777" w:rsidR="006621BD" w:rsidRDefault="00000000">
      <w:pPr>
        <w:pStyle w:val="a3"/>
        <w:ind w:firstLine="0"/>
        <w:rPr>
          <w:rFonts w:ascii="黑体" w:eastAsia="黑体" w:hAnsi="黑体" w:cs="黑体" w:hint="eastAsia"/>
          <w:sz w:val="32"/>
          <w:szCs w:val="32"/>
          <w:lang w:val="en"/>
        </w:rPr>
      </w:pPr>
      <w:r>
        <w:rPr>
          <w:rFonts w:ascii="黑体" w:eastAsia="黑体" w:hAnsi="黑体" w:cs="黑体" w:hint="eastAsia"/>
          <w:sz w:val="32"/>
          <w:szCs w:val="32"/>
          <w:lang w:val="en"/>
        </w:rPr>
        <w:t>附件</w:t>
      </w:r>
    </w:p>
    <w:p w14:paraId="205BD0C0" w14:textId="77777777" w:rsidR="006621BD" w:rsidRDefault="006621BD">
      <w:pPr>
        <w:pStyle w:val="a3"/>
        <w:ind w:firstLine="0"/>
        <w:rPr>
          <w:lang w:val="en"/>
        </w:rPr>
      </w:pPr>
    </w:p>
    <w:p w14:paraId="7D641A15" w14:textId="77777777" w:rsidR="006621BD" w:rsidRDefault="00000000">
      <w:pPr>
        <w:autoSpaceDN w:val="0"/>
        <w:spacing w:line="560" w:lineRule="exact"/>
        <w:jc w:val="center"/>
        <w:rPr>
          <w:rFonts w:ascii="方正小标宋_GBK" w:eastAsia="方正小标宋_GBK" w:hAnsi="方正小标宋_GBK" w:cs="方正小标宋_GBK" w:hint="eastAsia"/>
          <w:spacing w:val="-3"/>
          <w:sz w:val="44"/>
          <w:szCs w:val="44"/>
        </w:rPr>
      </w:pPr>
      <w:r>
        <w:rPr>
          <w:rFonts w:ascii="方正小标宋_GBK" w:eastAsia="方正小标宋_GBK" w:hAnsi="方正小标宋_GBK" w:cs="方正小标宋_GBK" w:hint="eastAsia"/>
          <w:spacing w:val="-3"/>
          <w:sz w:val="44"/>
          <w:szCs w:val="44"/>
        </w:rPr>
        <w:t>《深圳市医师不良执业行为记分管理办法》（征求意见稿）</w:t>
      </w:r>
    </w:p>
    <w:p w14:paraId="04498AA6" w14:textId="77777777" w:rsidR="006621BD" w:rsidRDefault="00000000">
      <w:pPr>
        <w:autoSpaceDN w:val="0"/>
        <w:spacing w:line="560" w:lineRule="exact"/>
        <w:jc w:val="center"/>
        <w:rPr>
          <w:rFonts w:ascii="方正小标宋_GBK" w:eastAsia="方正小标宋_GBK" w:hAnsi="方正小标宋_GBK" w:cs="方正小标宋_GBK" w:hint="eastAsia"/>
          <w:spacing w:val="-3"/>
          <w:sz w:val="44"/>
          <w:szCs w:val="44"/>
        </w:rPr>
      </w:pPr>
      <w:r>
        <w:rPr>
          <w:rFonts w:ascii="方正小标宋_GBK" w:eastAsia="方正小标宋_GBK" w:hAnsi="方正小标宋_GBK" w:cs="方正小标宋_GBK" w:hint="eastAsia"/>
          <w:spacing w:val="-3"/>
          <w:sz w:val="44"/>
          <w:szCs w:val="44"/>
        </w:rPr>
        <w:t>社会公众意见采纳情况表</w:t>
      </w:r>
    </w:p>
    <w:p w14:paraId="1458AEE4" w14:textId="77777777" w:rsidR="006621BD" w:rsidRDefault="006621BD">
      <w:pPr>
        <w:pStyle w:val="a3"/>
        <w:ind w:firstLine="0"/>
        <w:rPr>
          <w:lang w:val="en"/>
        </w:rPr>
      </w:pPr>
    </w:p>
    <w:tbl>
      <w:tblPr>
        <w:tblStyle w:val="aa"/>
        <w:tblW w:w="13305" w:type="dxa"/>
        <w:tblInd w:w="87" w:type="dxa"/>
        <w:tblLayout w:type="fixed"/>
        <w:tblLook w:val="04A0" w:firstRow="1" w:lastRow="0" w:firstColumn="1" w:lastColumn="0" w:noHBand="0" w:noVBand="1"/>
      </w:tblPr>
      <w:tblGrid>
        <w:gridCol w:w="915"/>
        <w:gridCol w:w="4842"/>
        <w:gridCol w:w="1917"/>
        <w:gridCol w:w="5631"/>
      </w:tblGrid>
      <w:tr w:rsidR="006621BD" w14:paraId="2A2B13C5" w14:textId="77777777">
        <w:tc>
          <w:tcPr>
            <w:tcW w:w="915" w:type="dxa"/>
          </w:tcPr>
          <w:p w14:paraId="293A173A" w14:textId="77777777" w:rsidR="006621BD" w:rsidRDefault="00000000">
            <w:pPr>
              <w:autoSpaceDN w:val="0"/>
              <w:spacing w:line="560" w:lineRule="exact"/>
              <w:jc w:val="center"/>
              <w:rPr>
                <w:rFonts w:ascii="仿宋_GB2312" w:eastAsia="仿宋_GB2312" w:hAnsi="仿宋_GB2312" w:cs="仿宋_GB2312" w:hint="eastAsia"/>
                <w:b/>
                <w:bCs/>
                <w:spacing w:val="-3"/>
                <w:sz w:val="32"/>
                <w:szCs w:val="32"/>
              </w:rPr>
            </w:pPr>
            <w:r>
              <w:rPr>
                <w:rFonts w:ascii="仿宋_GB2312" w:eastAsia="仿宋_GB2312" w:hAnsi="仿宋_GB2312" w:cs="仿宋_GB2312" w:hint="eastAsia"/>
                <w:b/>
                <w:bCs/>
                <w:spacing w:val="-3"/>
                <w:sz w:val="32"/>
                <w:szCs w:val="32"/>
              </w:rPr>
              <w:t>序号</w:t>
            </w:r>
          </w:p>
        </w:tc>
        <w:tc>
          <w:tcPr>
            <w:tcW w:w="4842" w:type="dxa"/>
          </w:tcPr>
          <w:p w14:paraId="3499E0F7" w14:textId="77777777" w:rsidR="006621BD" w:rsidRDefault="00000000">
            <w:pPr>
              <w:autoSpaceDN w:val="0"/>
              <w:spacing w:line="560" w:lineRule="exact"/>
              <w:jc w:val="center"/>
              <w:rPr>
                <w:rFonts w:ascii="仿宋_GB2312" w:eastAsia="仿宋_GB2312" w:hAnsi="仿宋_GB2312" w:cs="仿宋_GB2312" w:hint="eastAsia"/>
                <w:b/>
                <w:bCs/>
                <w:spacing w:val="-3"/>
                <w:sz w:val="32"/>
                <w:szCs w:val="32"/>
              </w:rPr>
            </w:pPr>
            <w:r>
              <w:rPr>
                <w:rFonts w:ascii="仿宋_GB2312" w:eastAsia="仿宋_GB2312" w:hAnsi="仿宋_GB2312" w:cs="仿宋_GB2312" w:hint="eastAsia"/>
                <w:b/>
                <w:bCs/>
                <w:spacing w:val="-3"/>
                <w:sz w:val="32"/>
                <w:szCs w:val="32"/>
              </w:rPr>
              <w:t>反馈意见</w:t>
            </w:r>
          </w:p>
        </w:tc>
        <w:tc>
          <w:tcPr>
            <w:tcW w:w="1917" w:type="dxa"/>
          </w:tcPr>
          <w:p w14:paraId="0E5835DB" w14:textId="77777777" w:rsidR="006621BD" w:rsidRDefault="00000000">
            <w:pPr>
              <w:autoSpaceDN w:val="0"/>
              <w:spacing w:line="560" w:lineRule="exact"/>
              <w:jc w:val="center"/>
              <w:rPr>
                <w:rFonts w:ascii="仿宋_GB2312" w:eastAsia="仿宋_GB2312" w:hAnsi="仿宋_GB2312" w:cs="仿宋_GB2312" w:hint="eastAsia"/>
                <w:b/>
                <w:bCs/>
                <w:spacing w:val="-3"/>
                <w:sz w:val="32"/>
                <w:szCs w:val="32"/>
              </w:rPr>
            </w:pPr>
            <w:r>
              <w:rPr>
                <w:rFonts w:ascii="仿宋_GB2312" w:eastAsia="仿宋_GB2312" w:hAnsi="仿宋_GB2312" w:cs="仿宋_GB2312" w:hint="eastAsia"/>
                <w:b/>
                <w:bCs/>
                <w:spacing w:val="-3"/>
                <w:sz w:val="32"/>
                <w:szCs w:val="32"/>
              </w:rPr>
              <w:t>采纳情况</w:t>
            </w:r>
          </w:p>
        </w:tc>
        <w:tc>
          <w:tcPr>
            <w:tcW w:w="5631" w:type="dxa"/>
          </w:tcPr>
          <w:p w14:paraId="6916C907" w14:textId="77777777" w:rsidR="006621BD" w:rsidRDefault="00000000">
            <w:pPr>
              <w:autoSpaceDN w:val="0"/>
              <w:spacing w:line="560" w:lineRule="exact"/>
              <w:jc w:val="center"/>
              <w:rPr>
                <w:rFonts w:ascii="仿宋_GB2312" w:eastAsia="仿宋_GB2312" w:hAnsi="仿宋_GB2312" w:cs="仿宋_GB2312" w:hint="eastAsia"/>
                <w:b/>
                <w:bCs/>
                <w:spacing w:val="-3"/>
                <w:sz w:val="32"/>
                <w:szCs w:val="32"/>
              </w:rPr>
            </w:pPr>
            <w:r>
              <w:rPr>
                <w:rFonts w:ascii="仿宋_GB2312" w:eastAsia="仿宋_GB2312" w:hAnsi="仿宋_GB2312" w:cs="仿宋_GB2312" w:hint="eastAsia"/>
                <w:b/>
                <w:bCs/>
                <w:spacing w:val="-3"/>
                <w:sz w:val="32"/>
                <w:szCs w:val="32"/>
              </w:rPr>
              <w:t>有关说明</w:t>
            </w:r>
          </w:p>
        </w:tc>
      </w:tr>
      <w:tr w:rsidR="006621BD" w14:paraId="3952F7ED" w14:textId="77777777">
        <w:tc>
          <w:tcPr>
            <w:tcW w:w="915" w:type="dxa"/>
            <w:vAlign w:val="center"/>
          </w:tcPr>
          <w:p w14:paraId="51A23A91"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1</w:t>
            </w:r>
          </w:p>
        </w:tc>
        <w:tc>
          <w:tcPr>
            <w:tcW w:w="4842" w:type="dxa"/>
            <w:vAlign w:val="center"/>
          </w:tcPr>
          <w:p w14:paraId="57ADA9E3" w14:textId="77777777" w:rsidR="006621BD" w:rsidRDefault="00000000">
            <w:pPr>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序号6和14：药品的适应症、作用与用途，不完全是说明书上仅有的疾病，有一些药品作用与新的用途并没有写在说明书上，“不按照规定开具药品处方”就扣分是非专业人员的思维。另外“规定”？什么规定不具体，模棱两可。</w:t>
            </w:r>
          </w:p>
        </w:tc>
        <w:tc>
          <w:tcPr>
            <w:tcW w:w="1917" w:type="dxa"/>
          </w:tcPr>
          <w:p w14:paraId="3C5B41CE"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不采纳</w:t>
            </w:r>
          </w:p>
        </w:tc>
        <w:tc>
          <w:tcPr>
            <w:tcW w:w="5631" w:type="dxa"/>
          </w:tcPr>
          <w:p w14:paraId="13F85B99" w14:textId="77777777" w:rsidR="006621BD" w:rsidRDefault="00000000">
            <w:pPr>
              <w:spacing w:line="52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hint="eastAsia"/>
                <w:sz w:val="28"/>
                <w:szCs w:val="28"/>
              </w:rPr>
              <w:t>处方管理办法》第五十七条第二款 医师出现下列情形之一的，按照《执业医师法》第三十七条的规定，由县级以上卫生行政部门给予警告或者责令暂停六个月以上一年以下执业活动；情节严重的，吊销其执业证书：</w:t>
            </w:r>
          </w:p>
          <w:p w14:paraId="39DEB54E" w14:textId="77777777" w:rsidR="006621BD" w:rsidRDefault="00000000">
            <w:pPr>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（二）未按照本办法规定开具药品处方的。</w:t>
            </w:r>
          </w:p>
          <w:p w14:paraId="2FDE3812" w14:textId="77777777" w:rsidR="006621BD" w:rsidRDefault="00000000">
            <w:pPr>
              <w:spacing w:line="52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《深圳经济特区医疗条例》第七十七条第二款  属于下列情形之一的，医疗机构及其医疗卫生人员应当及时向患者具体说明医</w:t>
            </w:r>
            <w:r>
              <w:rPr>
                <w:rFonts w:ascii="仿宋_GB2312" w:eastAsia="仿宋_GB2312" w:hAnsi="仿宋_GB2312" w:cs="仿宋_GB2312" w:hint="eastAsia"/>
                <w:sz w:val="28"/>
                <w:szCs w:val="28"/>
              </w:rPr>
              <w:lastRenderedPageBreak/>
              <w:t>疗风险、替代医疗方案等情况，并取得其明确同意；不能或者不宜向患者说明的，应当向患者近亲属说明，并取得其明确同意：</w:t>
            </w:r>
          </w:p>
          <w:p w14:paraId="7B19CFFF" w14:textId="77777777" w:rsidR="006621BD" w:rsidRDefault="00000000">
            <w:pPr>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（二）采用药品说明书未明确的用法使用药品的。</w:t>
            </w:r>
          </w:p>
          <w:p w14:paraId="284D5217" w14:textId="77777777" w:rsidR="006621BD" w:rsidRDefault="00000000">
            <w:pPr>
              <w:spacing w:line="52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以上法规有明确指出开具处方有关要求，依法规表述。</w:t>
            </w:r>
          </w:p>
        </w:tc>
      </w:tr>
      <w:tr w:rsidR="006621BD" w14:paraId="6A3394E0" w14:textId="77777777">
        <w:tc>
          <w:tcPr>
            <w:tcW w:w="915" w:type="dxa"/>
            <w:vAlign w:val="center"/>
          </w:tcPr>
          <w:p w14:paraId="3EFE0215"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2</w:t>
            </w:r>
          </w:p>
        </w:tc>
        <w:tc>
          <w:tcPr>
            <w:tcW w:w="4842" w:type="dxa"/>
            <w:vAlign w:val="center"/>
          </w:tcPr>
          <w:p w14:paraId="31A2C84E"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序号15：医疗安全管理制度的核心制度就有18条，加上其他制度就有数十条之多，该条款设计纯属“撒大网捞鱼”，没有具体内容不利于操作，争议非常大，是武断行为，是懒惰执法条款。</w:t>
            </w:r>
          </w:p>
        </w:tc>
        <w:tc>
          <w:tcPr>
            <w:tcW w:w="1917" w:type="dxa"/>
          </w:tcPr>
          <w:p w14:paraId="4CEB28A9"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不采纳</w:t>
            </w:r>
          </w:p>
        </w:tc>
        <w:tc>
          <w:tcPr>
            <w:tcW w:w="5631" w:type="dxa"/>
          </w:tcPr>
          <w:p w14:paraId="7483AA71" w14:textId="77777777" w:rsidR="006621BD" w:rsidRDefault="00000000">
            <w:pPr>
              <w:spacing w:line="52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《医疗纠纷预防和处理条例》第四十七条第一款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w:t>
            </w:r>
            <w:r>
              <w:rPr>
                <w:rFonts w:ascii="仿宋_GB2312" w:eastAsia="仿宋_GB2312" w:hAnsi="仿宋_GB2312" w:cs="仿宋_GB2312" w:hint="eastAsia"/>
                <w:color w:val="000000"/>
                <w:sz w:val="28"/>
                <w:szCs w:val="28"/>
              </w:rPr>
              <w:lastRenderedPageBreak/>
              <w:t>任： （一）未按规定制定和实施医疗质量安全管理制度。</w:t>
            </w:r>
          </w:p>
          <w:p w14:paraId="7A2EA317"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以上法规有明确要求，参照法规描述。</w:t>
            </w:r>
          </w:p>
        </w:tc>
      </w:tr>
      <w:tr w:rsidR="006621BD" w14:paraId="25F4DF7D" w14:textId="77777777">
        <w:tc>
          <w:tcPr>
            <w:tcW w:w="915" w:type="dxa"/>
            <w:vAlign w:val="center"/>
          </w:tcPr>
          <w:p w14:paraId="57E34864"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3</w:t>
            </w:r>
          </w:p>
        </w:tc>
        <w:tc>
          <w:tcPr>
            <w:tcW w:w="4842" w:type="dxa"/>
            <w:vAlign w:val="center"/>
          </w:tcPr>
          <w:p w14:paraId="455CF733"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序号22：疾病的发生、发展在早期是不能完全准确判断的，需要鉴别的，需要通过辅助检查排除和进一步明晰；也有需要通过试验性的治疗措施来明确诊断的情形，这也是临床惯例。不能认为这些诊疗措施就是所谓的过度医疗行为，该条款争议特别大，涉及漏诊误诊，会加重</w:t>
            </w:r>
            <w:proofErr w:type="gramStart"/>
            <w:r>
              <w:rPr>
                <w:rFonts w:ascii="仿宋_GB2312" w:eastAsia="仿宋_GB2312" w:hAnsi="仿宋_GB2312" w:cs="仿宋_GB2312" w:hint="eastAsia"/>
                <w:sz w:val="28"/>
                <w:szCs w:val="28"/>
              </w:rPr>
              <w:t>医</w:t>
            </w:r>
            <w:proofErr w:type="gramEnd"/>
            <w:r>
              <w:rPr>
                <w:rFonts w:ascii="仿宋_GB2312" w:eastAsia="仿宋_GB2312" w:hAnsi="仿宋_GB2312" w:cs="仿宋_GB2312" w:hint="eastAsia"/>
                <w:sz w:val="28"/>
                <w:szCs w:val="28"/>
              </w:rPr>
              <w:t>患纠纷与矛盾，助长投诉和</w:t>
            </w:r>
            <w:proofErr w:type="gramStart"/>
            <w:r>
              <w:rPr>
                <w:rFonts w:ascii="仿宋_GB2312" w:eastAsia="仿宋_GB2312" w:hAnsi="仿宋_GB2312" w:cs="仿宋_GB2312" w:hint="eastAsia"/>
                <w:sz w:val="28"/>
                <w:szCs w:val="28"/>
              </w:rPr>
              <w:t>医闹</w:t>
            </w:r>
            <w:proofErr w:type="gramEnd"/>
            <w:r>
              <w:rPr>
                <w:rFonts w:ascii="仿宋_GB2312" w:eastAsia="仿宋_GB2312" w:hAnsi="仿宋_GB2312" w:cs="仿宋_GB2312" w:hint="eastAsia"/>
                <w:sz w:val="28"/>
                <w:szCs w:val="28"/>
              </w:rPr>
              <w:t>行为，该条款有害无利。要说过度医疗最大的问题是公立医院设置的ICU，那里有50%以上的患者在小病大治，为了增加患者的住院消费，人为放宽收住ICU的标准，是烧钱的机器，是</w:t>
            </w:r>
            <w:r>
              <w:rPr>
                <w:rFonts w:ascii="仿宋_GB2312" w:eastAsia="仿宋_GB2312" w:hAnsi="仿宋_GB2312" w:cs="仿宋_GB2312" w:hint="eastAsia"/>
                <w:sz w:val="28"/>
                <w:szCs w:val="28"/>
              </w:rPr>
              <w:lastRenderedPageBreak/>
              <w:t>监管漏洞还是监管不作为，不排除有欺诈医疗行为。</w:t>
            </w:r>
          </w:p>
        </w:tc>
        <w:tc>
          <w:tcPr>
            <w:tcW w:w="1917" w:type="dxa"/>
          </w:tcPr>
          <w:p w14:paraId="1A843553"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不采纳</w:t>
            </w:r>
          </w:p>
        </w:tc>
        <w:tc>
          <w:tcPr>
            <w:tcW w:w="5631" w:type="dxa"/>
          </w:tcPr>
          <w:p w14:paraId="5CFE63CD" w14:textId="77777777" w:rsidR="006621BD" w:rsidRDefault="00000000">
            <w:pPr>
              <w:spacing w:line="52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《深圳经济特区医疗条例》第八十二条  医疗机构及其从业人员不得以虚假诊断、夸大病情或者疗效等方式，欺骗、诱导患者接受医疗服务。  医疗机构及其医疗卫生人员不得违反诊疗、操作规范和医学伦理，对患者实施不必要的检查、检验或者治疗。</w:t>
            </w:r>
          </w:p>
          <w:p w14:paraId="2647A796"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用于鉴别、明确诊断等辅助检验检查，不等同于“不必要的检查、检验或者治疗”，不属于过度诊疗。参照法规表述。</w:t>
            </w:r>
          </w:p>
        </w:tc>
      </w:tr>
      <w:tr w:rsidR="006621BD" w14:paraId="7DF0C5A4" w14:textId="77777777">
        <w:tc>
          <w:tcPr>
            <w:tcW w:w="915" w:type="dxa"/>
            <w:vAlign w:val="center"/>
          </w:tcPr>
          <w:p w14:paraId="3E2E8884"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4</w:t>
            </w:r>
          </w:p>
        </w:tc>
        <w:tc>
          <w:tcPr>
            <w:tcW w:w="4842" w:type="dxa"/>
            <w:vAlign w:val="center"/>
          </w:tcPr>
          <w:p w14:paraId="1A37FC15"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序号26：医院不可能把不常用的药物都备齐全，有过期和浪费或增加和成本问题，药品使用都有不确定性和罕见的副作用或药物损害发生，和药品目录无任何关联性，该条款滑稽又可笑、无知。</w:t>
            </w:r>
          </w:p>
        </w:tc>
        <w:tc>
          <w:tcPr>
            <w:tcW w:w="1917" w:type="dxa"/>
          </w:tcPr>
          <w:p w14:paraId="70CE7A15"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不采纳</w:t>
            </w:r>
          </w:p>
        </w:tc>
        <w:tc>
          <w:tcPr>
            <w:tcW w:w="5631" w:type="dxa"/>
          </w:tcPr>
          <w:p w14:paraId="3C2E6A45" w14:textId="77777777" w:rsidR="006621BD" w:rsidRDefault="00000000">
            <w:pPr>
              <w:spacing w:line="52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《抗菌药物临床应用管理办法》第二十一条  医疗机构抗菌药物应当由药学部门统一采购供应，其他科室或者部门不得从事抗菌药物的采购、调剂活动。临床上不得使用非药学部门采购供应的抗菌药物。  </w:t>
            </w:r>
          </w:p>
          <w:p w14:paraId="5BAFAF9B" w14:textId="77777777" w:rsidR="006621BD" w:rsidRDefault="00000000">
            <w:pPr>
              <w:spacing w:line="52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条款原意为临床科室使用医疗机构药学部门统一采购供应的抗菌药物。与建议限制使用品</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无相关。</w:t>
            </w:r>
          </w:p>
        </w:tc>
      </w:tr>
      <w:tr w:rsidR="006621BD" w14:paraId="537E9130" w14:textId="77777777">
        <w:tc>
          <w:tcPr>
            <w:tcW w:w="915" w:type="dxa"/>
            <w:vAlign w:val="center"/>
          </w:tcPr>
          <w:p w14:paraId="18DB19D8"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5</w:t>
            </w:r>
          </w:p>
        </w:tc>
        <w:tc>
          <w:tcPr>
            <w:tcW w:w="4842" w:type="dxa"/>
            <w:vAlign w:val="center"/>
          </w:tcPr>
          <w:p w14:paraId="287B3149"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序号29：医疗机构从设备到人员技术完全不具备救治条件，如果施救或者出于责任心施救会导致重大医疗纠纷，不能把社会不良风气等问题让医生来承担责任，监管不能总是报苗头对准医生下黑手。</w:t>
            </w:r>
          </w:p>
        </w:tc>
        <w:tc>
          <w:tcPr>
            <w:tcW w:w="1917" w:type="dxa"/>
          </w:tcPr>
          <w:p w14:paraId="191E91BE"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不采纳</w:t>
            </w:r>
          </w:p>
        </w:tc>
        <w:tc>
          <w:tcPr>
            <w:tcW w:w="5631" w:type="dxa"/>
          </w:tcPr>
          <w:p w14:paraId="44C9DFCB" w14:textId="77777777" w:rsidR="006621BD" w:rsidRDefault="00000000">
            <w:pPr>
              <w:spacing w:line="52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《中华人民共和国医师法》第二十七条  对需要紧急救治的患者，医师应当采取紧急措施进行诊治，不得拒绝急救处置。  因抢救生命垂危的患者等紧急情况，不能取得患者或者其近亲属意见的，经医疗机构负责人或者授权的负责人批准，可以立即实施相应</w:t>
            </w:r>
            <w:r>
              <w:rPr>
                <w:rFonts w:ascii="仿宋_GB2312" w:eastAsia="仿宋_GB2312" w:hAnsi="仿宋_GB2312" w:cs="仿宋_GB2312" w:hint="eastAsia"/>
                <w:color w:val="000000"/>
                <w:sz w:val="28"/>
                <w:szCs w:val="28"/>
              </w:rPr>
              <w:lastRenderedPageBreak/>
              <w:t>的医疗措施。  国家鼓励医师积极参与公共交通工具等公共场所急救服务；医师因自愿实施急救造成受助人损害的，不承担民事责任。</w:t>
            </w:r>
          </w:p>
          <w:p w14:paraId="0F9B4A50" w14:textId="77777777" w:rsidR="006621BD" w:rsidRDefault="00000000">
            <w:pPr>
              <w:spacing w:line="52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以上法规第一款主要指具备救治条件的医疗机构和医师</w:t>
            </w:r>
            <w:proofErr w:type="gramStart"/>
            <w:r>
              <w:rPr>
                <w:rFonts w:ascii="仿宋_GB2312" w:eastAsia="仿宋_GB2312" w:hAnsi="仿宋_GB2312" w:cs="仿宋_GB2312" w:hint="eastAsia"/>
                <w:color w:val="000000"/>
                <w:sz w:val="28"/>
                <w:szCs w:val="28"/>
              </w:rPr>
              <w:t>作出</w:t>
            </w:r>
            <w:proofErr w:type="gramEnd"/>
            <w:r>
              <w:rPr>
                <w:rFonts w:ascii="仿宋_GB2312" w:eastAsia="仿宋_GB2312" w:hAnsi="仿宋_GB2312" w:cs="仿宋_GB2312" w:hint="eastAsia"/>
                <w:color w:val="000000"/>
                <w:sz w:val="28"/>
                <w:szCs w:val="28"/>
              </w:rPr>
              <w:t>施救有关规定；第三款为有关免责条款。参照法规表述。</w:t>
            </w:r>
          </w:p>
        </w:tc>
      </w:tr>
      <w:tr w:rsidR="006621BD" w14:paraId="1C7BF4F2" w14:textId="77777777">
        <w:tc>
          <w:tcPr>
            <w:tcW w:w="915" w:type="dxa"/>
            <w:vAlign w:val="center"/>
          </w:tcPr>
          <w:p w14:paraId="3994CC22"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6</w:t>
            </w:r>
          </w:p>
        </w:tc>
        <w:tc>
          <w:tcPr>
            <w:tcW w:w="4842" w:type="dxa"/>
            <w:vAlign w:val="center"/>
          </w:tcPr>
          <w:p w14:paraId="1C680B32"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序号44：也有漏诊和误诊或者诊断依据不足的情况，也能视为虚假诊断？也有一些功能性疾病理论上讲是不需要治疗的，但是病人要求治疗呢？这种情况比较常见，不能没有相应的实施细则，随意和过度执法屡见不鲜，属于执法犯法行为</w:t>
            </w:r>
          </w:p>
        </w:tc>
        <w:tc>
          <w:tcPr>
            <w:tcW w:w="1917" w:type="dxa"/>
          </w:tcPr>
          <w:p w14:paraId="5E8244A5"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不采纳</w:t>
            </w:r>
          </w:p>
        </w:tc>
        <w:tc>
          <w:tcPr>
            <w:tcW w:w="5631" w:type="dxa"/>
          </w:tcPr>
          <w:p w14:paraId="469052B8" w14:textId="77777777" w:rsidR="006621BD" w:rsidRDefault="00000000">
            <w:pPr>
              <w:spacing w:line="52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《深圳经济特区医疗条例》第八十二条  医疗机构及其从业人员不得以虚假诊断、夸大病情或者疗效等方式，欺骗、诱导患者接受医疗服务。  医疗机构及其医疗卫生人员不得违反诊疗、操作规范和医学伦理，对患者实施不必要的检查、检验或者治疗。</w:t>
            </w:r>
          </w:p>
          <w:p w14:paraId="29C24273" w14:textId="77777777" w:rsidR="006621BD" w:rsidRDefault="00000000">
            <w:pPr>
              <w:spacing w:line="520" w:lineRule="exact"/>
              <w:ind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漏诊、误诊不等同于虚假诊断。</w:t>
            </w:r>
          </w:p>
        </w:tc>
      </w:tr>
      <w:tr w:rsidR="006621BD" w14:paraId="3795370A" w14:textId="77777777">
        <w:tc>
          <w:tcPr>
            <w:tcW w:w="915" w:type="dxa"/>
            <w:vAlign w:val="center"/>
          </w:tcPr>
          <w:p w14:paraId="5A70A01C"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7</w:t>
            </w:r>
          </w:p>
        </w:tc>
        <w:tc>
          <w:tcPr>
            <w:tcW w:w="4842" w:type="dxa"/>
            <w:vAlign w:val="center"/>
          </w:tcPr>
          <w:p w14:paraId="2DBB34DB"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《管理办法》第九条中“不良执业行为依法应当受到行政处罚的，不得以记分</w:t>
            </w:r>
            <w:r>
              <w:rPr>
                <w:rFonts w:ascii="仿宋_GB2312" w:eastAsia="仿宋_GB2312" w:hAnsi="仿宋_GB2312" w:cs="仿宋_GB2312" w:hint="eastAsia"/>
                <w:sz w:val="28"/>
                <w:szCs w:val="28"/>
              </w:rPr>
              <w:lastRenderedPageBreak/>
              <w:t>代替处罚或者只处罚不记分”中第二种禁止的情形“不得只处罚不记分”涉嫌违反《中华人民共和国行政处罚法（2021）》第二十九条的规定。</w:t>
            </w:r>
          </w:p>
          <w:p w14:paraId="01E77181"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五条对于记分达到12分以上的情形所设定的前三种处理规定中均要求取消医师处方权，没有了处方权，就不能合法行医，就等同于实施了《中华人民共和国行政处罚法（2021）》第九条第四款中“限制从业”的处罚种类。那么《记分办法》第九条中不良行为既然已经处罚了，又同时“记分”，意味着可能会被再次处罚（取消处方权），这显然是涉嫌违反了《行政处罚法》第二十九条中规定的一事</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二罚的原则。</w:t>
            </w:r>
          </w:p>
          <w:p w14:paraId="26FA2154" w14:textId="77777777" w:rsidR="006621BD" w:rsidRDefault="00000000">
            <w:pPr>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参考《行政处罚法》第二十九条　</w:t>
            </w:r>
            <w:r>
              <w:rPr>
                <w:rFonts w:ascii="仿宋_GB2312" w:eastAsia="仿宋_GB2312" w:hAnsi="仿宋_GB2312" w:cs="仿宋_GB2312" w:hint="eastAsia"/>
                <w:sz w:val="28"/>
                <w:szCs w:val="28"/>
              </w:rPr>
              <w:lastRenderedPageBreak/>
              <w:t>对当事人的同一个违法行为，不得给予两次以上罚款的行政处罚。同一个违法行为违反多个法律规范应当给予罚款处罚的，按照罚款数额高的规定处罚。</w:t>
            </w:r>
          </w:p>
        </w:tc>
        <w:tc>
          <w:tcPr>
            <w:tcW w:w="1917" w:type="dxa"/>
          </w:tcPr>
          <w:p w14:paraId="64DD6796"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不采纳</w:t>
            </w:r>
          </w:p>
        </w:tc>
        <w:tc>
          <w:tcPr>
            <w:tcW w:w="5631" w:type="dxa"/>
          </w:tcPr>
          <w:p w14:paraId="1CDBCEB2" w14:textId="77777777" w:rsidR="006621BD" w:rsidRDefault="00000000">
            <w:pPr>
              <w:spacing w:line="52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取消处方权不属于行政处罚的种类，无违反</w:t>
            </w:r>
            <w:r>
              <w:rPr>
                <w:rFonts w:ascii="仿宋_GB2312" w:eastAsia="仿宋_GB2312" w:hAnsi="仿宋_GB2312" w:cs="仿宋_GB2312" w:hint="eastAsia"/>
                <w:sz w:val="28"/>
                <w:szCs w:val="28"/>
              </w:rPr>
              <w:t>《中华人民共和国行政处罚法（2021）》</w:t>
            </w:r>
            <w:r>
              <w:rPr>
                <w:rFonts w:ascii="仿宋_GB2312" w:eastAsia="仿宋_GB2312" w:hAnsi="仿宋_GB2312" w:cs="仿宋_GB2312" w:hint="eastAsia"/>
                <w:sz w:val="28"/>
                <w:szCs w:val="28"/>
              </w:rPr>
              <w:t>第二十九条等有关规定。</w:t>
            </w:r>
          </w:p>
        </w:tc>
      </w:tr>
      <w:tr w:rsidR="006621BD" w14:paraId="29CB111A" w14:textId="77777777">
        <w:tc>
          <w:tcPr>
            <w:tcW w:w="915" w:type="dxa"/>
            <w:vAlign w:val="center"/>
          </w:tcPr>
          <w:p w14:paraId="726D5332"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lastRenderedPageBreak/>
              <w:t>8</w:t>
            </w:r>
          </w:p>
        </w:tc>
        <w:tc>
          <w:tcPr>
            <w:tcW w:w="4842" w:type="dxa"/>
            <w:vAlign w:val="center"/>
          </w:tcPr>
          <w:p w14:paraId="671D99D3"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《管理办法》第三条，不能将法律法规与规章，诊疗规范混为一谈，不能将学术争议和政策法规混为一谈。</w:t>
            </w:r>
          </w:p>
        </w:tc>
        <w:tc>
          <w:tcPr>
            <w:tcW w:w="1917" w:type="dxa"/>
          </w:tcPr>
          <w:p w14:paraId="75A32CCF"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采纳</w:t>
            </w:r>
          </w:p>
        </w:tc>
        <w:tc>
          <w:tcPr>
            <w:tcW w:w="5631" w:type="dxa"/>
          </w:tcPr>
          <w:p w14:paraId="0FFAF664"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已将“本办法所称医师不良执业行为是指医师在执业活动中违反有关法律、法规、规章、诊疗规范等的执业行为。”修改为“本办法所称医师不良执业行为是指医师在执业活动中违反有关法律、法规、规章以及其他规范性文件的执业行为”。</w:t>
            </w:r>
          </w:p>
        </w:tc>
      </w:tr>
      <w:tr w:rsidR="006621BD" w14:paraId="3C58EE7D" w14:textId="77777777">
        <w:tc>
          <w:tcPr>
            <w:tcW w:w="915" w:type="dxa"/>
            <w:vAlign w:val="center"/>
          </w:tcPr>
          <w:p w14:paraId="6E5BE3D1"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9</w:t>
            </w:r>
          </w:p>
        </w:tc>
        <w:tc>
          <w:tcPr>
            <w:tcW w:w="4842" w:type="dxa"/>
            <w:vAlign w:val="center"/>
          </w:tcPr>
          <w:p w14:paraId="563FACCE"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《管理办法》第六条第二款，不良执业行为的追诉期？三年？行政处罚追诉期法定为二年。</w:t>
            </w:r>
          </w:p>
        </w:tc>
        <w:tc>
          <w:tcPr>
            <w:tcW w:w="1917" w:type="dxa"/>
          </w:tcPr>
          <w:p w14:paraId="63D5399E"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采纳</w:t>
            </w:r>
          </w:p>
        </w:tc>
        <w:tc>
          <w:tcPr>
            <w:tcW w:w="5631" w:type="dxa"/>
          </w:tcPr>
          <w:p w14:paraId="061059FD"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增加“第十条　医师不良执业行为在二年内未被发现的，不再记分；涉及公民生命健康安全且有危害后果的，上述期限延长至五年”。</w:t>
            </w:r>
          </w:p>
        </w:tc>
      </w:tr>
      <w:tr w:rsidR="006621BD" w14:paraId="3B397786" w14:textId="77777777">
        <w:tc>
          <w:tcPr>
            <w:tcW w:w="915" w:type="dxa"/>
            <w:vAlign w:val="center"/>
          </w:tcPr>
          <w:p w14:paraId="3AC2185D"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10</w:t>
            </w:r>
          </w:p>
        </w:tc>
        <w:tc>
          <w:tcPr>
            <w:tcW w:w="4842" w:type="dxa"/>
            <w:vAlign w:val="center"/>
          </w:tcPr>
          <w:p w14:paraId="432D714A"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《管理办法》第七条第二款，两种以上与多种的区别？</w:t>
            </w:r>
          </w:p>
        </w:tc>
        <w:tc>
          <w:tcPr>
            <w:tcW w:w="1917" w:type="dxa"/>
          </w:tcPr>
          <w:p w14:paraId="416004FD"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采纳</w:t>
            </w:r>
          </w:p>
        </w:tc>
        <w:tc>
          <w:tcPr>
            <w:tcW w:w="5631" w:type="dxa"/>
          </w:tcPr>
          <w:p w14:paraId="1BAC4756"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已将“多种”修改为“两种以上”。</w:t>
            </w:r>
          </w:p>
        </w:tc>
      </w:tr>
      <w:tr w:rsidR="006621BD" w14:paraId="448C9A1F" w14:textId="77777777">
        <w:tc>
          <w:tcPr>
            <w:tcW w:w="915" w:type="dxa"/>
            <w:vAlign w:val="center"/>
          </w:tcPr>
          <w:p w14:paraId="26AB1BE2"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lastRenderedPageBreak/>
              <w:t>11</w:t>
            </w:r>
          </w:p>
        </w:tc>
        <w:tc>
          <w:tcPr>
            <w:tcW w:w="4842" w:type="dxa"/>
            <w:vAlign w:val="center"/>
          </w:tcPr>
          <w:p w14:paraId="0D597C87"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《管理办法》第九条，不良执业记分也是行政处罚的形式吗？</w:t>
            </w:r>
          </w:p>
        </w:tc>
        <w:tc>
          <w:tcPr>
            <w:tcW w:w="1917" w:type="dxa"/>
          </w:tcPr>
          <w:p w14:paraId="3D0B0F33"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不采纳</w:t>
            </w:r>
          </w:p>
        </w:tc>
        <w:tc>
          <w:tcPr>
            <w:tcW w:w="5631" w:type="dxa"/>
          </w:tcPr>
          <w:p w14:paraId="6C52EE4B"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不良执业记分属于行政管理手段，不属于行政处罚。</w:t>
            </w:r>
          </w:p>
        </w:tc>
      </w:tr>
      <w:tr w:rsidR="006621BD" w14:paraId="422D0B9D" w14:textId="77777777">
        <w:tc>
          <w:tcPr>
            <w:tcW w:w="915" w:type="dxa"/>
            <w:vAlign w:val="center"/>
          </w:tcPr>
          <w:p w14:paraId="6101803C"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12</w:t>
            </w:r>
          </w:p>
        </w:tc>
        <w:tc>
          <w:tcPr>
            <w:tcW w:w="4842" w:type="dxa"/>
            <w:vAlign w:val="center"/>
          </w:tcPr>
          <w:p w14:paraId="11A169FF"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《管理办法》第十四条，医师协会不具有法定的认定资质，其认定书不能作用行政处罚依据。</w:t>
            </w:r>
          </w:p>
        </w:tc>
        <w:tc>
          <w:tcPr>
            <w:tcW w:w="1917" w:type="dxa"/>
          </w:tcPr>
          <w:p w14:paraId="786C1A33"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采纳</w:t>
            </w:r>
          </w:p>
        </w:tc>
        <w:tc>
          <w:tcPr>
            <w:tcW w:w="5631" w:type="dxa"/>
          </w:tcPr>
          <w:p w14:paraId="66360A11"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市医师协会</w:t>
            </w:r>
            <w:proofErr w:type="gramStart"/>
            <w:r>
              <w:rPr>
                <w:rFonts w:ascii="仿宋_GB2312" w:eastAsia="仿宋_GB2312" w:hAnsi="仿宋_GB2312" w:cs="仿宋_GB2312" w:hint="eastAsia"/>
                <w:color w:val="000000"/>
                <w:sz w:val="28"/>
                <w:szCs w:val="28"/>
              </w:rPr>
              <w:t>作出</w:t>
            </w:r>
            <w:proofErr w:type="gramEnd"/>
            <w:r>
              <w:rPr>
                <w:rFonts w:ascii="仿宋_GB2312" w:eastAsia="仿宋_GB2312" w:hAnsi="仿宋_GB2312" w:cs="仿宋_GB2312" w:hint="eastAsia"/>
                <w:color w:val="000000"/>
                <w:sz w:val="28"/>
                <w:szCs w:val="28"/>
              </w:rPr>
              <w:t>的专业认定意见可以作为卫生监督机构的处理的参考性依据，而非决定性依据。</w:t>
            </w:r>
          </w:p>
        </w:tc>
      </w:tr>
      <w:tr w:rsidR="006621BD" w14:paraId="3CD3DC38" w14:textId="77777777">
        <w:tc>
          <w:tcPr>
            <w:tcW w:w="915" w:type="dxa"/>
            <w:vAlign w:val="center"/>
          </w:tcPr>
          <w:p w14:paraId="55234CEB"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13</w:t>
            </w:r>
          </w:p>
        </w:tc>
        <w:tc>
          <w:tcPr>
            <w:tcW w:w="4842" w:type="dxa"/>
            <w:vAlign w:val="center"/>
          </w:tcPr>
          <w:p w14:paraId="464AA6C4"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第十五条，一个记分周期内可以出现“记满12分或14分或18分---参加培训---记分清零---再次记分......如此循环”，那记分的惩戒和震慑意义何在，与第六条不一致。</w:t>
            </w:r>
          </w:p>
        </w:tc>
        <w:tc>
          <w:tcPr>
            <w:tcW w:w="1917" w:type="dxa"/>
          </w:tcPr>
          <w:p w14:paraId="38EC8D69"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采纳</w:t>
            </w:r>
          </w:p>
        </w:tc>
        <w:tc>
          <w:tcPr>
            <w:tcW w:w="5631" w:type="dxa"/>
          </w:tcPr>
          <w:p w14:paraId="65F9D7AC"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已删除“医师完成上述规定的培训后，本记分周期记录的分值清零”。</w:t>
            </w:r>
          </w:p>
        </w:tc>
      </w:tr>
      <w:tr w:rsidR="006621BD" w14:paraId="2B684729" w14:textId="77777777">
        <w:tc>
          <w:tcPr>
            <w:tcW w:w="915" w:type="dxa"/>
            <w:vAlign w:val="center"/>
          </w:tcPr>
          <w:p w14:paraId="26B4180D" w14:textId="77777777" w:rsidR="006621BD" w:rsidRDefault="00000000">
            <w:pPr>
              <w:autoSpaceDN w:val="0"/>
              <w:spacing w:line="520" w:lineRule="exact"/>
              <w:jc w:val="center"/>
              <w:rPr>
                <w:rFonts w:ascii="仿宋_GB2312" w:eastAsia="仿宋_GB2312" w:hAnsi="仿宋_GB2312" w:cs="仿宋_GB2312" w:hint="eastAsia"/>
                <w:spacing w:val="-3"/>
                <w:sz w:val="28"/>
                <w:szCs w:val="28"/>
              </w:rPr>
            </w:pPr>
            <w:r>
              <w:rPr>
                <w:rFonts w:ascii="仿宋_GB2312" w:eastAsia="仿宋_GB2312" w:hAnsi="仿宋_GB2312" w:cs="仿宋_GB2312" w:hint="eastAsia"/>
                <w:spacing w:val="-3"/>
                <w:sz w:val="28"/>
                <w:szCs w:val="28"/>
              </w:rPr>
              <w:t>14</w:t>
            </w:r>
          </w:p>
        </w:tc>
        <w:tc>
          <w:tcPr>
            <w:tcW w:w="4842" w:type="dxa"/>
            <w:vAlign w:val="center"/>
          </w:tcPr>
          <w:p w14:paraId="660B7E0A"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为了证明别人是错的，自己是对的。宁愿花大量的时间精力来找证据。指证都是别人的问题。认为别人必须、应该、一定要满足自己的要求。是以偏概全，以一概十。很多人三四十岁了，甚至都七老八十了，还是保持在5岁认知。希</w:t>
            </w:r>
            <w:r>
              <w:rPr>
                <w:rFonts w:ascii="仿宋_GB2312" w:eastAsia="仿宋_GB2312" w:hAnsi="仿宋_GB2312" w:cs="仿宋_GB2312" w:hint="eastAsia"/>
                <w:sz w:val="28"/>
                <w:szCs w:val="28"/>
              </w:rPr>
              <w:lastRenderedPageBreak/>
              <w:t>望有人围着自己转，希望别人给自己准备吃的来哄自己，要别人为自己的需求负责。这就是在无意识中把自己定义为受害者。虽然这样会痛苦，但熟悉，习惯了呀。我们太习惯寻找过去被伤害的感觉，因为熟悉顺溜，所以自动重复"受害模式"。那种怕被抛弃的恐惧，深深的刻在了你的心里。哪怕发生了一点小事情，都很容易触发到。总是容易紧张焦虑，耗自己耗别人。很多事情被恐惧驱使。而习惯恐惧，就是你自己最熟悉的模式。无法信任任何人。我们或多或少，都在重复以前的错误模式，重复在一个地方栽跟头。50 60那一代人大部分挺嘴硬的，那简直</w:t>
            </w:r>
            <w:proofErr w:type="gramStart"/>
            <w:r>
              <w:rPr>
                <w:rFonts w:ascii="仿宋_GB2312" w:eastAsia="仿宋_GB2312" w:hAnsi="仿宋_GB2312" w:cs="仿宋_GB2312" w:hint="eastAsia"/>
                <w:sz w:val="28"/>
                <w:szCs w:val="28"/>
              </w:rPr>
              <w:t>把甩锅的</w:t>
            </w:r>
            <w:proofErr w:type="gramEnd"/>
            <w:r>
              <w:rPr>
                <w:rFonts w:ascii="仿宋_GB2312" w:eastAsia="仿宋_GB2312" w:hAnsi="仿宋_GB2312" w:cs="仿宋_GB2312" w:hint="eastAsia"/>
                <w:sz w:val="28"/>
                <w:szCs w:val="28"/>
              </w:rPr>
              <w:t>能力发挥得如火纯青。什么我</w:t>
            </w:r>
            <w:proofErr w:type="gramStart"/>
            <w:r>
              <w:rPr>
                <w:rFonts w:ascii="仿宋_GB2312" w:eastAsia="仿宋_GB2312" w:hAnsi="仿宋_GB2312" w:cs="仿宋_GB2312" w:hint="eastAsia"/>
                <w:sz w:val="28"/>
                <w:szCs w:val="28"/>
              </w:rPr>
              <w:t>这样都是</w:t>
            </w:r>
            <w:proofErr w:type="gramEnd"/>
            <w:r>
              <w:rPr>
                <w:rFonts w:ascii="仿宋_GB2312" w:eastAsia="仿宋_GB2312" w:hAnsi="仿宋_GB2312" w:cs="仿宋_GB2312" w:hint="eastAsia"/>
                <w:sz w:val="28"/>
                <w:szCs w:val="28"/>
              </w:rPr>
              <w:t>因为</w:t>
            </w:r>
            <w:r>
              <w:rPr>
                <w:rFonts w:ascii="仿宋_GB2312" w:eastAsia="仿宋_GB2312" w:hAnsi="仿宋_GB2312" w:cs="仿宋_GB2312" w:hint="eastAsia"/>
                <w:sz w:val="28"/>
                <w:szCs w:val="28"/>
              </w:rPr>
              <w:lastRenderedPageBreak/>
              <w:t>你，你不这样我会那样吗。要不是你，我怎么会…</w:t>
            </w:r>
          </w:p>
          <w:p w14:paraId="61EF453C" w14:textId="77777777" w:rsidR="006621BD" w:rsidRDefault="00000000">
            <w:pPr>
              <w:spacing w:line="52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反正可以是任何事物的问题，就是不能是自己的问题，不能是自己的错。这意味着，你并不相信自己。</w:t>
            </w:r>
          </w:p>
        </w:tc>
        <w:tc>
          <w:tcPr>
            <w:tcW w:w="1917" w:type="dxa"/>
          </w:tcPr>
          <w:p w14:paraId="333FF573"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不采纳</w:t>
            </w:r>
          </w:p>
        </w:tc>
        <w:tc>
          <w:tcPr>
            <w:tcW w:w="5631" w:type="dxa"/>
          </w:tcPr>
          <w:p w14:paraId="37B810C6" w14:textId="77777777" w:rsidR="006621BD" w:rsidRDefault="00000000">
            <w:pPr>
              <w:spacing w:line="52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与《深圳市医师不良执业行为记分管理办法》（征求意见稿）内容无关。</w:t>
            </w:r>
          </w:p>
        </w:tc>
      </w:tr>
    </w:tbl>
    <w:p w14:paraId="5A7EB175" w14:textId="77777777" w:rsidR="006621BD" w:rsidRDefault="006621BD">
      <w:pPr>
        <w:pStyle w:val="a3"/>
        <w:spacing w:line="520" w:lineRule="exact"/>
        <w:ind w:firstLine="0"/>
        <w:rPr>
          <w:rFonts w:ascii="仿宋_GB2312" w:eastAsia="仿宋_GB2312" w:hAnsi="仿宋_GB2312" w:cs="仿宋_GB2312" w:hint="eastAsia"/>
          <w:sz w:val="28"/>
          <w:szCs w:val="28"/>
          <w:lang w:val="en"/>
        </w:rPr>
      </w:pPr>
    </w:p>
    <w:sectPr w:rsidR="006621BD">
      <w:headerReference w:type="default" r:id="rId7"/>
      <w:footerReference w:type="even" r:id="rId8"/>
      <w:footerReference w:type="default" r:id="rId9"/>
      <w:pgSz w:w="16838" w:h="11906" w:orient="landscape"/>
      <w:pgMar w:top="1588" w:right="2098" w:bottom="1474" w:left="1474" w:header="851"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FE8E5" w14:textId="77777777" w:rsidR="00324B19" w:rsidRDefault="00324B19">
      <w:r>
        <w:separator/>
      </w:r>
    </w:p>
  </w:endnote>
  <w:endnote w:type="continuationSeparator" w:id="0">
    <w:p w14:paraId="7957704E" w14:textId="77777777" w:rsidR="00324B19" w:rsidRDefault="0032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方正小标宋_GBK”">
    <w:altName w:val="方正小标宋_GBK"/>
    <w:charset w:val="00"/>
    <w:family w:val="auto"/>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ABA82" w14:textId="77777777" w:rsidR="006621BD" w:rsidRDefault="00000000">
    <w:pPr>
      <w:pStyle w:val="a7"/>
      <w:framePr w:wrap="around" w:vAnchor="text" w:hAnchor="margin" w:xAlign="outside" w:y="1"/>
      <w:rPr>
        <w:rStyle w:val="ab"/>
      </w:rPr>
    </w:pPr>
    <w:r>
      <w:fldChar w:fldCharType="begin"/>
    </w:r>
    <w:r>
      <w:rPr>
        <w:rStyle w:val="ab"/>
      </w:rPr>
      <w:instrText xml:space="preserve">PAGE  </w:instrText>
    </w:r>
    <w:r>
      <w:fldChar w:fldCharType="end"/>
    </w:r>
  </w:p>
  <w:p w14:paraId="7BD1D561" w14:textId="77777777" w:rsidR="006621BD" w:rsidRDefault="006621BD">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FE82D" w14:textId="77777777" w:rsidR="006621BD" w:rsidRDefault="00000000">
    <w:pPr>
      <w:pStyle w:val="a7"/>
      <w:framePr w:wrap="around" w:vAnchor="text" w:hAnchor="margin" w:xAlign="outside" w:y="1"/>
      <w:ind w:rightChars="164" w:right="344" w:firstLineChars="128" w:firstLine="358"/>
      <w:rPr>
        <w:rStyle w:val="ab"/>
        <w:rFonts w:ascii="宋体" w:hAnsi="宋体" w:hint="eastAsia"/>
        <w:sz w:val="28"/>
        <w:szCs w:val="28"/>
      </w:rPr>
    </w:pPr>
    <w:r>
      <w:rPr>
        <w:rStyle w:val="ab"/>
        <w:rFonts w:ascii="宋体" w:hAnsi="宋体" w:hint="eastAsia"/>
        <w:sz w:val="28"/>
        <w:szCs w:val="28"/>
      </w:rPr>
      <w:t>－</w:t>
    </w: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Pr>
        <w:rStyle w:val="ab"/>
        <w:rFonts w:ascii="宋体" w:hAnsi="宋体"/>
        <w:sz w:val="28"/>
        <w:szCs w:val="28"/>
      </w:rPr>
      <w:t>1</w:t>
    </w:r>
    <w:r>
      <w:rPr>
        <w:rFonts w:ascii="宋体" w:hAnsi="宋体"/>
        <w:sz w:val="28"/>
        <w:szCs w:val="28"/>
      </w:rPr>
      <w:fldChar w:fldCharType="end"/>
    </w:r>
    <w:r>
      <w:rPr>
        <w:rStyle w:val="ab"/>
        <w:rFonts w:ascii="宋体" w:hAnsi="宋体" w:hint="eastAsia"/>
        <w:sz w:val="28"/>
        <w:szCs w:val="28"/>
      </w:rPr>
      <w:t>－</w:t>
    </w:r>
  </w:p>
  <w:p w14:paraId="727AD6D1" w14:textId="77777777" w:rsidR="006621BD" w:rsidRDefault="006621BD">
    <w:pPr>
      <w:ind w:right="360" w:firstLine="360"/>
      <w:rPr>
        <w:rStyle w:val="ab"/>
        <w:rFonts w:ascii="宋体" w:hAnsi="宋体" w:hint="eastAsia"/>
        <w:sz w:val="28"/>
        <w:szCs w:val="28"/>
      </w:rPr>
    </w:pPr>
  </w:p>
  <w:p w14:paraId="6D901346" w14:textId="77777777" w:rsidR="006621BD" w:rsidRDefault="006621BD">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6315F" w14:textId="77777777" w:rsidR="00324B19" w:rsidRDefault="00324B19">
      <w:r>
        <w:separator/>
      </w:r>
    </w:p>
  </w:footnote>
  <w:footnote w:type="continuationSeparator" w:id="0">
    <w:p w14:paraId="176AD1C9" w14:textId="77777777" w:rsidR="00324B19" w:rsidRDefault="00324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12728" w14:textId="77777777" w:rsidR="006621BD" w:rsidRDefault="006621BD">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5DDA2B"/>
    <w:multiLevelType w:val="singleLevel"/>
    <w:tmpl w:val="FC5DDA2B"/>
    <w:lvl w:ilvl="0">
      <w:start w:val="1"/>
      <w:numFmt w:val="chineseCounting"/>
      <w:suff w:val="nothing"/>
      <w:lvlText w:val="%1、"/>
      <w:lvlJc w:val="left"/>
      <w:rPr>
        <w:rFonts w:hint="eastAsia"/>
      </w:rPr>
    </w:lvl>
  </w:abstractNum>
  <w:num w:numId="1" w16cid:durableId="61637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diYmFhM2RiODU0MjkwZTk0N2IwMTBjNDlhZmJhNWQifQ=="/>
  </w:docVars>
  <w:rsids>
    <w:rsidRoot w:val="000B7F20"/>
    <w:rsid w:val="8FD4755B"/>
    <w:rsid w:val="9FFAE49C"/>
    <w:rsid w:val="ACFFF492"/>
    <w:rsid w:val="B3DF08F8"/>
    <w:rsid w:val="BCFD0B52"/>
    <w:rsid w:val="D8FB5195"/>
    <w:rsid w:val="DADFCF38"/>
    <w:rsid w:val="DEB007D9"/>
    <w:rsid w:val="DF7F9471"/>
    <w:rsid w:val="DFE7CF7D"/>
    <w:rsid w:val="EFC578F4"/>
    <w:rsid w:val="FBFF919A"/>
    <w:rsid w:val="FE577EBB"/>
    <w:rsid w:val="FE77D42C"/>
    <w:rsid w:val="FEFD287E"/>
    <w:rsid w:val="FF6DEA94"/>
    <w:rsid w:val="FF7BF5EE"/>
    <w:rsid w:val="FF9B5129"/>
    <w:rsid w:val="0000241E"/>
    <w:rsid w:val="00005877"/>
    <w:rsid w:val="00006D60"/>
    <w:rsid w:val="000167C2"/>
    <w:rsid w:val="00022326"/>
    <w:rsid w:val="000239CE"/>
    <w:rsid w:val="000411FB"/>
    <w:rsid w:val="0004491E"/>
    <w:rsid w:val="000506F2"/>
    <w:rsid w:val="0006612E"/>
    <w:rsid w:val="000734E7"/>
    <w:rsid w:val="000B7F20"/>
    <w:rsid w:val="0015142F"/>
    <w:rsid w:val="00185762"/>
    <w:rsid w:val="0019132E"/>
    <w:rsid w:val="0019294C"/>
    <w:rsid w:val="0019556D"/>
    <w:rsid w:val="00196073"/>
    <w:rsid w:val="001A37F0"/>
    <w:rsid w:val="001B1AE9"/>
    <w:rsid w:val="001B4321"/>
    <w:rsid w:val="001C2CBC"/>
    <w:rsid w:val="001D45F0"/>
    <w:rsid w:val="001E7A61"/>
    <w:rsid w:val="00205F23"/>
    <w:rsid w:val="0021497D"/>
    <w:rsid w:val="00220282"/>
    <w:rsid w:val="00222DE3"/>
    <w:rsid w:val="00230CD7"/>
    <w:rsid w:val="002415B5"/>
    <w:rsid w:val="0024223E"/>
    <w:rsid w:val="00243890"/>
    <w:rsid w:val="00244DB9"/>
    <w:rsid w:val="00260976"/>
    <w:rsid w:val="002639AA"/>
    <w:rsid w:val="002639D2"/>
    <w:rsid w:val="00276D1C"/>
    <w:rsid w:val="00277156"/>
    <w:rsid w:val="00290D48"/>
    <w:rsid w:val="002A5674"/>
    <w:rsid w:val="002A7CAB"/>
    <w:rsid w:val="002B260C"/>
    <w:rsid w:val="002D0EC0"/>
    <w:rsid w:val="002E4F6C"/>
    <w:rsid w:val="003023AC"/>
    <w:rsid w:val="0030543B"/>
    <w:rsid w:val="00307761"/>
    <w:rsid w:val="003154EC"/>
    <w:rsid w:val="00323160"/>
    <w:rsid w:val="00324B19"/>
    <w:rsid w:val="00331703"/>
    <w:rsid w:val="003411BE"/>
    <w:rsid w:val="003422C7"/>
    <w:rsid w:val="00342440"/>
    <w:rsid w:val="00342E53"/>
    <w:rsid w:val="0034316F"/>
    <w:rsid w:val="00355A4A"/>
    <w:rsid w:val="00381D62"/>
    <w:rsid w:val="00394366"/>
    <w:rsid w:val="003A7BE9"/>
    <w:rsid w:val="003B6256"/>
    <w:rsid w:val="003B64F0"/>
    <w:rsid w:val="003C216A"/>
    <w:rsid w:val="003C230C"/>
    <w:rsid w:val="003E1154"/>
    <w:rsid w:val="003E44E8"/>
    <w:rsid w:val="003E7247"/>
    <w:rsid w:val="004114CD"/>
    <w:rsid w:val="00414691"/>
    <w:rsid w:val="0043350A"/>
    <w:rsid w:val="00441C4D"/>
    <w:rsid w:val="00443B2A"/>
    <w:rsid w:val="0045652E"/>
    <w:rsid w:val="0048538A"/>
    <w:rsid w:val="00490EFB"/>
    <w:rsid w:val="00494469"/>
    <w:rsid w:val="004A40CE"/>
    <w:rsid w:val="004A5847"/>
    <w:rsid w:val="004D467D"/>
    <w:rsid w:val="004D6D96"/>
    <w:rsid w:val="004E2498"/>
    <w:rsid w:val="00510F97"/>
    <w:rsid w:val="005148E2"/>
    <w:rsid w:val="00517560"/>
    <w:rsid w:val="00521B25"/>
    <w:rsid w:val="00524687"/>
    <w:rsid w:val="00555AD8"/>
    <w:rsid w:val="005672BC"/>
    <w:rsid w:val="00571CEB"/>
    <w:rsid w:val="00571FAF"/>
    <w:rsid w:val="0057505E"/>
    <w:rsid w:val="005908BC"/>
    <w:rsid w:val="005A46CA"/>
    <w:rsid w:val="005A5B5A"/>
    <w:rsid w:val="005B68B2"/>
    <w:rsid w:val="005C0608"/>
    <w:rsid w:val="005E291C"/>
    <w:rsid w:val="005E79F9"/>
    <w:rsid w:val="00605F4B"/>
    <w:rsid w:val="00610BB3"/>
    <w:rsid w:val="0061622A"/>
    <w:rsid w:val="006266E5"/>
    <w:rsid w:val="00651093"/>
    <w:rsid w:val="006621BD"/>
    <w:rsid w:val="00663A4A"/>
    <w:rsid w:val="00683777"/>
    <w:rsid w:val="00684F87"/>
    <w:rsid w:val="00690EAB"/>
    <w:rsid w:val="0069160B"/>
    <w:rsid w:val="006A5039"/>
    <w:rsid w:val="006C0799"/>
    <w:rsid w:val="006D13CD"/>
    <w:rsid w:val="00702671"/>
    <w:rsid w:val="00704497"/>
    <w:rsid w:val="0072342B"/>
    <w:rsid w:val="0072393C"/>
    <w:rsid w:val="00725477"/>
    <w:rsid w:val="007602F5"/>
    <w:rsid w:val="0076104C"/>
    <w:rsid w:val="007B779E"/>
    <w:rsid w:val="007C3F35"/>
    <w:rsid w:val="007D40BB"/>
    <w:rsid w:val="007E3C37"/>
    <w:rsid w:val="0083527E"/>
    <w:rsid w:val="008462C0"/>
    <w:rsid w:val="00850AE1"/>
    <w:rsid w:val="00883397"/>
    <w:rsid w:val="008864AA"/>
    <w:rsid w:val="00896B63"/>
    <w:rsid w:val="008A1E06"/>
    <w:rsid w:val="008B3081"/>
    <w:rsid w:val="008B48A5"/>
    <w:rsid w:val="008C6150"/>
    <w:rsid w:val="008C7D75"/>
    <w:rsid w:val="008E50C3"/>
    <w:rsid w:val="00927258"/>
    <w:rsid w:val="009307E4"/>
    <w:rsid w:val="0093366A"/>
    <w:rsid w:val="00973869"/>
    <w:rsid w:val="009938FD"/>
    <w:rsid w:val="009A1436"/>
    <w:rsid w:val="009A58A6"/>
    <w:rsid w:val="009A71BB"/>
    <w:rsid w:val="009D1E6A"/>
    <w:rsid w:val="009E01B2"/>
    <w:rsid w:val="00A01B98"/>
    <w:rsid w:val="00A026DB"/>
    <w:rsid w:val="00A16A64"/>
    <w:rsid w:val="00A25D09"/>
    <w:rsid w:val="00A43AE4"/>
    <w:rsid w:val="00A745C4"/>
    <w:rsid w:val="00A93705"/>
    <w:rsid w:val="00AA6ADC"/>
    <w:rsid w:val="00AC6D5F"/>
    <w:rsid w:val="00AD4864"/>
    <w:rsid w:val="00AD7AA7"/>
    <w:rsid w:val="00B02204"/>
    <w:rsid w:val="00B07A81"/>
    <w:rsid w:val="00B17CC1"/>
    <w:rsid w:val="00B20BC3"/>
    <w:rsid w:val="00B417D9"/>
    <w:rsid w:val="00B52F00"/>
    <w:rsid w:val="00B76C83"/>
    <w:rsid w:val="00B9016E"/>
    <w:rsid w:val="00BD23EA"/>
    <w:rsid w:val="00C023E6"/>
    <w:rsid w:val="00C06D91"/>
    <w:rsid w:val="00C13024"/>
    <w:rsid w:val="00C255DC"/>
    <w:rsid w:val="00C60BA7"/>
    <w:rsid w:val="00C64F08"/>
    <w:rsid w:val="00C66FF8"/>
    <w:rsid w:val="00C717B2"/>
    <w:rsid w:val="00CB53B0"/>
    <w:rsid w:val="00CC6D4A"/>
    <w:rsid w:val="00CD1F82"/>
    <w:rsid w:val="00CE75BF"/>
    <w:rsid w:val="00CF1D0E"/>
    <w:rsid w:val="00D15629"/>
    <w:rsid w:val="00D3291E"/>
    <w:rsid w:val="00D55BE4"/>
    <w:rsid w:val="00D62445"/>
    <w:rsid w:val="00D644B4"/>
    <w:rsid w:val="00D72FAE"/>
    <w:rsid w:val="00D77DAA"/>
    <w:rsid w:val="00D97B63"/>
    <w:rsid w:val="00DB7703"/>
    <w:rsid w:val="00DD1F4E"/>
    <w:rsid w:val="00DD2BB8"/>
    <w:rsid w:val="00DE3203"/>
    <w:rsid w:val="00DE3345"/>
    <w:rsid w:val="00DF3CF9"/>
    <w:rsid w:val="00E37C26"/>
    <w:rsid w:val="00E53965"/>
    <w:rsid w:val="00E62F68"/>
    <w:rsid w:val="00E80597"/>
    <w:rsid w:val="00E828A1"/>
    <w:rsid w:val="00EA6767"/>
    <w:rsid w:val="00EB0027"/>
    <w:rsid w:val="00EB4C63"/>
    <w:rsid w:val="00EC4982"/>
    <w:rsid w:val="00EC49EA"/>
    <w:rsid w:val="00EE6E6F"/>
    <w:rsid w:val="00F02F3E"/>
    <w:rsid w:val="00F1586F"/>
    <w:rsid w:val="00F23158"/>
    <w:rsid w:val="00F36B44"/>
    <w:rsid w:val="00F562FB"/>
    <w:rsid w:val="00F66365"/>
    <w:rsid w:val="00F75704"/>
    <w:rsid w:val="00F85E67"/>
    <w:rsid w:val="00F950CB"/>
    <w:rsid w:val="00FA08D1"/>
    <w:rsid w:val="00FB3B3F"/>
    <w:rsid w:val="00FF7141"/>
    <w:rsid w:val="064A2C7F"/>
    <w:rsid w:val="0FEA03D1"/>
    <w:rsid w:val="121D5677"/>
    <w:rsid w:val="17A748EA"/>
    <w:rsid w:val="18455C50"/>
    <w:rsid w:val="1FFDC532"/>
    <w:rsid w:val="2F5B06E7"/>
    <w:rsid w:val="31266314"/>
    <w:rsid w:val="31FF24FE"/>
    <w:rsid w:val="3F9C6994"/>
    <w:rsid w:val="3FEFFB80"/>
    <w:rsid w:val="4AF66925"/>
    <w:rsid w:val="4C9F4078"/>
    <w:rsid w:val="5B7EF6FE"/>
    <w:rsid w:val="5C577D4F"/>
    <w:rsid w:val="5E45667C"/>
    <w:rsid w:val="63B7108A"/>
    <w:rsid w:val="6497373E"/>
    <w:rsid w:val="68BE59E6"/>
    <w:rsid w:val="6BAF166F"/>
    <w:rsid w:val="6E871E5F"/>
    <w:rsid w:val="6EFD643C"/>
    <w:rsid w:val="729C76DD"/>
    <w:rsid w:val="7307F2E8"/>
    <w:rsid w:val="759D61A1"/>
    <w:rsid w:val="773F3832"/>
    <w:rsid w:val="773FBDE2"/>
    <w:rsid w:val="77FCFDAC"/>
    <w:rsid w:val="7B6FDBBC"/>
    <w:rsid w:val="7E73A3D3"/>
    <w:rsid w:val="7FFA0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4D03B"/>
  <w15:docId w15:val="{3A83209D-605F-40A0-A7BF-7124244F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adjustRightInd w:val="0"/>
      <w:spacing w:line="360" w:lineRule="auto"/>
      <w:ind w:firstLine="420"/>
      <w:jc w:val="both"/>
      <w:textAlignment w:val="baseline"/>
    </w:pPr>
    <w:rPr>
      <w:rFonts w:ascii="Calibri" w:hAnsi="Calibri"/>
      <w:sz w:val="24"/>
      <w:szCs w:val="24"/>
    </w:rPr>
  </w:style>
  <w:style w:type="paragraph" w:styleId="a4">
    <w:name w:val="Document Map"/>
    <w:basedOn w:val="a"/>
    <w:link w:val="a5"/>
    <w:qFormat/>
    <w:rPr>
      <w:rFonts w:ascii="宋体"/>
      <w:sz w:val="18"/>
      <w:szCs w:val="18"/>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basedOn w:val="a0"/>
    <w:qFormat/>
    <w:rPr>
      <w:color w:val="0000FF"/>
      <w:u w:val="single"/>
    </w:rPr>
  </w:style>
  <w:style w:type="character" w:customStyle="1" w:styleId="a5">
    <w:name w:val="文档结构图 字符"/>
    <w:link w:val="a4"/>
    <w:qFormat/>
    <w:rPr>
      <w:rFonts w:ascii="宋体"/>
      <w:kern w:val="2"/>
      <w:sz w:val="18"/>
      <w:szCs w:val="18"/>
    </w:rPr>
  </w:style>
  <w:style w:type="paragraph" w:customStyle="1" w:styleId="ad">
    <w:name w:val="黑体"/>
    <w:basedOn w:val="a"/>
    <w:qFormat/>
    <w:rPr>
      <w:rFonts w:ascii="黑体" w:eastAsia="黑体" w:hAnsi="黑体" w:cs="黑体" w:hint="eastAsia"/>
      <w:sz w:val="32"/>
    </w:rPr>
  </w:style>
  <w:style w:type="paragraph" w:customStyle="1" w:styleId="GB2312">
    <w:name w:val="仿宋_GB2312"/>
    <w:basedOn w:val="a"/>
    <w:qFormat/>
    <w:rPr>
      <w:rFonts w:ascii="仿宋_GB2312" w:eastAsia="仿宋_GB2312" w:hAnsi="仿宋_GB2312" w:cs="仿宋_GB2312" w:hint="eastAsia"/>
      <w:sz w:val="32"/>
    </w:rPr>
  </w:style>
  <w:style w:type="paragraph" w:customStyle="1" w:styleId="GB23120">
    <w:name w:val="楷体_GB2312"/>
    <w:basedOn w:val="a"/>
    <w:qFormat/>
    <w:rPr>
      <w:rFonts w:ascii="楷体_GB2312" w:eastAsia="楷体_GB2312" w:hAnsi="楷体_GB2312" w:cs="楷体_GB2312" w:hint="eastAsia"/>
      <w:sz w:val="32"/>
    </w:rPr>
  </w:style>
  <w:style w:type="paragraph" w:customStyle="1" w:styleId="ae">
    <w:name w:val="方正小标宋简体"/>
    <w:basedOn w:val="a"/>
    <w:qFormat/>
    <w:rPr>
      <w:rFonts w:ascii="方正小标宋简体" w:eastAsia="方正小标宋简体" w:hAnsi="方正小标宋简体" w:cs="方正小标宋简体" w:hint="eastAsia"/>
      <w:sz w:val="32"/>
    </w:rPr>
  </w:style>
  <w:style w:type="paragraph" w:customStyle="1" w:styleId="GBK">
    <w:name w:val="方正小标宋_GBK"/>
    <w:basedOn w:val="a"/>
    <w:qFormat/>
    <w:rPr>
      <w:rFonts w:ascii="方正小标宋_GBK”" w:eastAsia="方正小标宋_GBK”" w:hAnsi="方正小标宋_GBK”" w:cs="方正小标宋_GBK”" w:hint="eastAsi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521</Words>
  <Characters>2976</Characters>
  <Application>Microsoft Office Word</Application>
  <DocSecurity>0</DocSecurity>
  <Lines>24</Lines>
  <Paragraphs>6</Paragraphs>
  <ScaleCrop>false</ScaleCrop>
  <Company>微软中国</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特急</dc:title>
  <dc:creator>陈绮云</dc:creator>
  <cp:lastModifiedBy>sea</cp:lastModifiedBy>
  <cp:revision>2</cp:revision>
  <cp:lastPrinted>2012-09-17T23:18:00Z</cp:lastPrinted>
  <dcterms:created xsi:type="dcterms:W3CDTF">2024-10-09T01:18:00Z</dcterms:created>
  <dcterms:modified xsi:type="dcterms:W3CDTF">2024-10-09T01:18:00Z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38C72B5071E34ABFA30B7DD2ADB44556_13</vt:lpwstr>
  </property>
</Properties>
</file>