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1" w:rightFromText="181" w:vertAnchor="page" w:horzAnchor="page" w:tblpX="1469" w:tblpY="2036"/>
        <w:tblOverlap w:val="never"/>
        <w:tblW w:w="13980" w:type="dxa"/>
        <w:tblInd w:w="0" w:type="dxa"/>
        <w:tblLayout w:type="fixed"/>
        <w:tblCellMar>
          <w:top w:w="0" w:type="dxa"/>
          <w:left w:w="0" w:type="dxa"/>
          <w:bottom w:w="0" w:type="dxa"/>
          <w:right w:w="0" w:type="dxa"/>
        </w:tblCellMar>
      </w:tblPr>
      <w:tblGrid>
        <w:gridCol w:w="2048"/>
        <w:gridCol w:w="6582"/>
        <w:gridCol w:w="1962"/>
        <w:gridCol w:w="3388"/>
      </w:tblGrid>
      <w:tr>
        <w:tblPrEx>
          <w:tblCellMar>
            <w:top w:w="0" w:type="dxa"/>
            <w:left w:w="0" w:type="dxa"/>
            <w:bottom w:w="0" w:type="dxa"/>
            <w:right w:w="0" w:type="dxa"/>
          </w:tblCellMar>
        </w:tblPrEx>
        <w:trPr>
          <w:trHeight w:val="1472" w:hRule="atLeast"/>
        </w:trPr>
        <w:tc>
          <w:tcPr>
            <w:tcW w:w="13980" w:type="dxa"/>
            <w:gridSpan w:val="4"/>
            <w:tcBorders>
              <w:top w:val="single" w:color="000000" w:sz="4" w:space="0"/>
              <w:left w:val="single" w:color="000000" w:sz="4" w:space="0"/>
              <w:right w:val="single" w:color="000000" w:sz="4" w:space="0"/>
            </w:tcBorders>
            <w:vAlign w:val="center"/>
          </w:tcPr>
          <w:p>
            <w:pPr>
              <w:spacing w:line="500" w:lineRule="exact"/>
              <w:jc w:val="center"/>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《深圳市中医专科护士培训和管理办法（审议稿）》</w:t>
            </w:r>
          </w:p>
          <w:p>
            <w:pPr>
              <w:spacing w:line="500" w:lineRule="exact"/>
              <w:jc w:val="center"/>
              <w:rPr>
                <w:sz w:val="24"/>
              </w:rPr>
            </w:pPr>
            <w:r>
              <w:rPr>
                <w:rFonts w:hint="eastAsia" w:ascii="方正小标宋_GBK" w:hAnsi="方正小标宋_GBK" w:eastAsia="方正小标宋_GBK" w:cs="方正小标宋_GBK"/>
                <w:b w:val="0"/>
                <w:bCs w:val="0"/>
                <w:sz w:val="44"/>
                <w:szCs w:val="44"/>
                <w:lang w:val="en-US" w:eastAsia="zh-CN"/>
              </w:rPr>
              <w:t>公开征求意见采纳情况表</w:t>
            </w:r>
          </w:p>
        </w:tc>
      </w:tr>
      <w:tr>
        <w:tblPrEx>
          <w:tblCellMar>
            <w:top w:w="0" w:type="dxa"/>
            <w:left w:w="0" w:type="dxa"/>
            <w:bottom w:w="0" w:type="dxa"/>
            <w:right w:w="0" w:type="dxa"/>
          </w:tblCellMar>
        </w:tblPrEx>
        <w:trPr>
          <w:trHeight w:val="657" w:hRule="atLeast"/>
        </w:trPr>
        <w:tc>
          <w:tcPr>
            <w:tcW w:w="2048" w:type="dxa"/>
            <w:tcBorders>
              <w:top w:val="single" w:color="000000" w:sz="4" w:space="0"/>
              <w:left w:val="single" w:color="000000" w:sz="4" w:space="0"/>
              <w:right w:val="nil"/>
            </w:tcBorders>
            <w:vAlign w:val="center"/>
          </w:tcPr>
          <w:p>
            <w:pPr>
              <w:spacing w:line="400" w:lineRule="exact"/>
              <w:jc w:val="center"/>
              <w:rPr>
                <w:rFonts w:hint="eastAsia" w:ascii="Calibri" w:hAnsi="Calibri" w:eastAsia="宋体" w:cs="Times New Roman"/>
                <w:kern w:val="2"/>
                <w:sz w:val="24"/>
                <w:szCs w:val="24"/>
                <w:lang w:val="en-US" w:eastAsia="zh-CN" w:bidi="ar-SA"/>
              </w:rPr>
            </w:pPr>
          </w:p>
        </w:tc>
        <w:tc>
          <w:tcPr>
            <w:tcW w:w="6582" w:type="dxa"/>
            <w:tcBorders>
              <w:top w:val="single" w:color="000000" w:sz="4" w:space="0"/>
              <w:left w:val="single" w:color="000000" w:sz="4" w:space="0"/>
              <w:right w:val="nil"/>
            </w:tcBorders>
            <w:vAlign w:val="center"/>
          </w:tcPr>
          <w:p>
            <w:pPr>
              <w:spacing w:line="400" w:lineRule="exact"/>
              <w:jc w:val="center"/>
              <w:rPr>
                <w:rFonts w:hint="eastAsia" w:ascii="Calibri" w:hAnsi="Calibri" w:eastAsia="宋体" w:cs="Times New Roman"/>
                <w:kern w:val="2"/>
                <w:sz w:val="24"/>
                <w:szCs w:val="24"/>
                <w:lang w:val="en-US" w:eastAsia="zh-CN" w:bidi="ar-SA"/>
              </w:rPr>
            </w:pPr>
            <w:r>
              <w:rPr>
                <w:rFonts w:hint="eastAsia" w:ascii="宋体" w:hAnsi="宋体"/>
                <w:b/>
                <w:sz w:val="24"/>
              </w:rPr>
              <w:t>反馈意见</w:t>
            </w:r>
          </w:p>
        </w:tc>
        <w:tc>
          <w:tcPr>
            <w:tcW w:w="1962" w:type="dxa"/>
            <w:tcBorders>
              <w:top w:val="single" w:color="000000" w:sz="4" w:space="0"/>
              <w:left w:val="single" w:color="000000" w:sz="4" w:space="0"/>
              <w:right w:val="nil"/>
            </w:tcBorders>
            <w:vAlign w:val="center"/>
          </w:tcPr>
          <w:p>
            <w:pPr>
              <w:spacing w:line="400" w:lineRule="exact"/>
              <w:jc w:val="center"/>
              <w:rPr>
                <w:rFonts w:hint="eastAsia" w:ascii="Calibri" w:hAnsi="Calibri" w:eastAsia="宋体" w:cs="Times New Roman"/>
                <w:kern w:val="2"/>
                <w:sz w:val="24"/>
                <w:szCs w:val="24"/>
                <w:lang w:val="en-US" w:eastAsia="zh-CN" w:bidi="ar-SA"/>
              </w:rPr>
            </w:pPr>
            <w:r>
              <w:rPr>
                <w:rFonts w:hint="eastAsia" w:ascii="宋体" w:hAnsi="宋体"/>
                <w:b/>
                <w:sz w:val="24"/>
              </w:rPr>
              <w:t>采纳情况</w:t>
            </w:r>
          </w:p>
        </w:tc>
        <w:tc>
          <w:tcPr>
            <w:tcW w:w="338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Calibri" w:hAnsi="Calibri" w:eastAsia="宋体" w:cs="Times New Roman"/>
                <w:kern w:val="2"/>
                <w:sz w:val="24"/>
                <w:szCs w:val="24"/>
                <w:lang w:val="en-US" w:eastAsia="zh-CN" w:bidi="ar-SA"/>
              </w:rPr>
            </w:pPr>
            <w:r>
              <w:rPr>
                <w:rFonts w:hint="eastAsia" w:ascii="宋体" w:hAnsi="宋体"/>
                <w:b/>
                <w:sz w:val="24"/>
                <w:lang w:val="en-US" w:eastAsia="zh-CN"/>
              </w:rPr>
              <w:t>回复内容</w:t>
            </w:r>
          </w:p>
        </w:tc>
      </w:tr>
      <w:tr>
        <w:tblPrEx>
          <w:tblCellMar>
            <w:top w:w="0" w:type="dxa"/>
            <w:left w:w="0" w:type="dxa"/>
            <w:bottom w:w="0" w:type="dxa"/>
            <w:right w:w="0" w:type="dxa"/>
          </w:tblCellMar>
        </w:tblPrEx>
        <w:trPr>
          <w:trHeight w:val="1720" w:hRule="atLeast"/>
        </w:trPr>
        <w:tc>
          <w:tcPr>
            <w:tcW w:w="2048" w:type="dxa"/>
            <w:vMerge w:val="restart"/>
            <w:tcBorders>
              <w:left w:val="single" w:color="000000" w:sz="4" w:space="0"/>
              <w:right w:val="nil"/>
            </w:tcBorders>
            <w:vAlign w:val="top"/>
          </w:tcPr>
          <w:p>
            <w:pPr>
              <w:keepNext w:val="0"/>
              <w:keepLines w:val="0"/>
              <w:pageBreakBefore w:val="0"/>
              <w:kinsoku/>
              <w:wordWrap/>
              <w:overflowPunct/>
              <w:topLinePunct w:val="0"/>
              <w:autoSpaceDE/>
              <w:autoSpaceDN/>
              <w:bidi w:val="0"/>
              <w:adjustRightInd/>
              <w:snapToGrid/>
              <w:spacing w:beforeLines="0" w:afterLines="0" w:line="560" w:lineRule="exact"/>
              <w:ind w:firstLine="560" w:firstLineChars="200"/>
              <w:jc w:val="both"/>
              <w:textAlignment w:val="auto"/>
              <w:rPr>
                <w:rFonts w:hint="eastAsia" w:ascii="仿宋_GB2312" w:hAnsi="仿宋_GB2312" w:eastAsia="仿宋_GB2312" w:cs="仿宋_GB2312"/>
                <w:kern w:val="2"/>
                <w:sz w:val="28"/>
                <w:szCs w:val="28"/>
                <w:lang w:val="en-US" w:eastAsia="zh-CN" w:bidi="ar-SA"/>
              </w:rPr>
            </w:pPr>
          </w:p>
          <w:p>
            <w:pPr>
              <w:keepNext w:val="0"/>
              <w:keepLines w:val="0"/>
              <w:pageBreakBefore w:val="0"/>
              <w:kinsoku/>
              <w:wordWrap/>
              <w:overflowPunct/>
              <w:topLinePunct w:val="0"/>
              <w:autoSpaceDE/>
              <w:autoSpaceDN/>
              <w:bidi w:val="0"/>
              <w:adjustRightInd/>
              <w:snapToGrid/>
              <w:spacing w:beforeLines="0" w:afterLines="0" w:line="560" w:lineRule="exact"/>
              <w:ind w:firstLine="560" w:firstLineChars="200"/>
              <w:jc w:val="both"/>
              <w:textAlignment w:val="auto"/>
              <w:rPr>
                <w:rFonts w:hint="eastAsia" w:ascii="仿宋_GB2312" w:hAnsi="仿宋_GB2312" w:eastAsia="仿宋_GB2312" w:cs="仿宋_GB2312"/>
                <w:kern w:val="2"/>
                <w:sz w:val="28"/>
                <w:szCs w:val="28"/>
                <w:lang w:val="en-US" w:eastAsia="zh-CN" w:bidi="ar-SA"/>
              </w:rPr>
            </w:pPr>
          </w:p>
          <w:p>
            <w:pPr>
              <w:keepNext w:val="0"/>
              <w:keepLines w:val="0"/>
              <w:pageBreakBefore w:val="0"/>
              <w:kinsoku/>
              <w:wordWrap/>
              <w:overflowPunct/>
              <w:topLinePunct w:val="0"/>
              <w:autoSpaceDE/>
              <w:autoSpaceDN/>
              <w:bidi w:val="0"/>
              <w:adjustRightInd/>
              <w:snapToGrid/>
              <w:spacing w:beforeLines="0" w:afterLines="0" w:line="560" w:lineRule="exact"/>
              <w:ind w:firstLine="560" w:firstLineChars="200"/>
              <w:jc w:val="both"/>
              <w:textAlignment w:val="auto"/>
              <w:rPr>
                <w:rFonts w:hint="eastAsia" w:ascii="仿宋_GB2312" w:hAnsi="仿宋_GB2312" w:eastAsia="仿宋_GB2312" w:cs="仿宋_GB2312"/>
                <w:kern w:val="2"/>
                <w:sz w:val="28"/>
                <w:szCs w:val="28"/>
                <w:lang w:val="en-US" w:eastAsia="zh-CN" w:bidi="ar-SA"/>
              </w:rPr>
            </w:pPr>
          </w:p>
          <w:p>
            <w:pPr>
              <w:keepNext w:val="0"/>
              <w:keepLines w:val="0"/>
              <w:pageBreakBefore w:val="0"/>
              <w:kinsoku/>
              <w:wordWrap/>
              <w:overflowPunct/>
              <w:topLinePunct w:val="0"/>
              <w:autoSpaceDE/>
              <w:autoSpaceDN/>
              <w:bidi w:val="0"/>
              <w:adjustRightInd/>
              <w:snapToGrid/>
              <w:spacing w:beforeLines="0" w:afterLines="0" w:line="560" w:lineRule="exact"/>
              <w:ind w:firstLine="560" w:firstLineChars="200"/>
              <w:jc w:val="both"/>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市民1</w:t>
            </w:r>
          </w:p>
        </w:tc>
        <w:tc>
          <w:tcPr>
            <w:tcW w:w="6582" w:type="dxa"/>
            <w:tcBorders>
              <w:top w:val="single" w:color="000000" w:sz="4" w:space="0"/>
              <w:left w:val="single" w:color="000000" w:sz="4" w:space="0"/>
              <w:right w:val="nil"/>
            </w:tcBorders>
            <w:vAlign w:val="top"/>
          </w:tcPr>
          <w:p>
            <w:pPr>
              <w:keepNext w:val="0"/>
              <w:keepLines w:val="0"/>
              <w:pageBreakBefore w:val="0"/>
              <w:kinsoku/>
              <w:wordWrap/>
              <w:overflowPunct/>
              <w:topLinePunct w:val="0"/>
              <w:autoSpaceDE/>
              <w:autoSpaceDN/>
              <w:bidi w:val="0"/>
              <w:adjustRightInd/>
              <w:snapToGrid/>
              <w:spacing w:beforeLines="0" w:afterLines="0" w:line="560" w:lineRule="exact"/>
              <w:ind w:firstLine="560" w:firstLineChars="200"/>
              <w:jc w:val="both"/>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kern w:val="0"/>
                <w:sz w:val="28"/>
                <w:szCs w:val="28"/>
                <w:lang w:val="en-US" w:eastAsia="zh-CN" w:bidi="ar-SA"/>
              </w:rPr>
              <w:t>第三章二十四条“……连续3个月以上专科护士培训……”建议强调“中医专科护士”。</w:t>
            </w:r>
          </w:p>
        </w:tc>
        <w:tc>
          <w:tcPr>
            <w:tcW w:w="1962" w:type="dxa"/>
            <w:tcBorders>
              <w:top w:val="single" w:color="000000" w:sz="4" w:space="0"/>
              <w:left w:val="single" w:color="000000" w:sz="4" w:space="0"/>
              <w:right w:val="nil"/>
            </w:tcBorders>
            <w:vAlign w:val="top"/>
          </w:tcPr>
          <w:p>
            <w:pPr>
              <w:keepNext w:val="0"/>
              <w:keepLines w:val="0"/>
              <w:pageBreakBefore w:val="0"/>
              <w:kinsoku/>
              <w:wordWrap/>
              <w:overflowPunct/>
              <w:topLinePunct w:val="0"/>
              <w:autoSpaceDE/>
              <w:autoSpaceDN/>
              <w:bidi w:val="0"/>
              <w:adjustRightInd/>
              <w:snapToGrid/>
              <w:spacing w:beforeLines="0" w:afterLines="0" w:line="560" w:lineRule="exact"/>
              <w:jc w:val="center"/>
              <w:textAlignment w:val="auto"/>
              <w:rPr>
                <w:rFonts w:hint="eastAsia" w:ascii="仿宋_GB2312" w:hAnsi="仿宋_GB2312" w:eastAsia="仿宋_GB2312" w:cs="仿宋_GB2312"/>
                <w:b w:val="0"/>
                <w:bCs w:val="0"/>
                <w:kern w:val="0"/>
                <w:sz w:val="28"/>
                <w:szCs w:val="28"/>
                <w:lang w:val="en-US" w:eastAsia="zh-CN" w:bidi="ar-SA"/>
              </w:rPr>
            </w:pPr>
          </w:p>
          <w:p>
            <w:pPr>
              <w:keepNext w:val="0"/>
              <w:keepLines w:val="0"/>
              <w:pageBreakBefore w:val="0"/>
              <w:kinsoku/>
              <w:wordWrap/>
              <w:overflowPunct/>
              <w:topLinePunct w:val="0"/>
              <w:autoSpaceDE/>
              <w:autoSpaceDN/>
              <w:bidi w:val="0"/>
              <w:adjustRightInd/>
              <w:snapToGrid/>
              <w:spacing w:beforeLines="0" w:afterLines="0" w:line="560" w:lineRule="exact"/>
              <w:jc w:val="center"/>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kern w:val="0"/>
                <w:sz w:val="28"/>
                <w:szCs w:val="28"/>
                <w:lang w:val="en-US" w:eastAsia="zh-CN" w:bidi="ar-SA"/>
              </w:rPr>
              <w:t>采纳</w:t>
            </w:r>
          </w:p>
        </w:tc>
        <w:tc>
          <w:tcPr>
            <w:tcW w:w="3388"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bCs w:val="0"/>
                <w:kern w:val="0"/>
                <w:sz w:val="28"/>
                <w:szCs w:val="28"/>
                <w:lang w:val="en-US" w:eastAsia="zh-CN" w:bidi="ar-SA"/>
              </w:rPr>
              <w:t>第三章二十四条修改为“……连续3个月以上中医专科护士培训……”</w:t>
            </w:r>
          </w:p>
        </w:tc>
      </w:tr>
      <w:tr>
        <w:tblPrEx>
          <w:tblCellMar>
            <w:top w:w="0" w:type="dxa"/>
            <w:left w:w="0" w:type="dxa"/>
            <w:bottom w:w="0" w:type="dxa"/>
            <w:right w:w="0" w:type="dxa"/>
          </w:tblCellMar>
        </w:tblPrEx>
        <w:tc>
          <w:tcPr>
            <w:tcW w:w="2048" w:type="dxa"/>
            <w:vMerge w:val="continue"/>
            <w:tcBorders>
              <w:left w:val="single" w:color="000000" w:sz="4" w:space="0"/>
              <w:right w:val="nil"/>
            </w:tcBorders>
            <w:vAlign w:val="top"/>
          </w:tcPr>
          <w:p>
            <w:pPr>
              <w:keepNext w:val="0"/>
              <w:keepLines w:val="0"/>
              <w:pageBreakBefore w:val="0"/>
              <w:kinsoku/>
              <w:wordWrap/>
              <w:overflowPunct/>
              <w:topLinePunct w:val="0"/>
              <w:autoSpaceDE/>
              <w:autoSpaceDN/>
              <w:bidi w:val="0"/>
              <w:adjustRightInd/>
              <w:snapToGrid/>
              <w:spacing w:beforeLines="0" w:afterLines="0" w:line="560" w:lineRule="exact"/>
              <w:ind w:firstLine="560" w:firstLineChars="200"/>
              <w:jc w:val="both"/>
              <w:textAlignment w:val="auto"/>
              <w:rPr>
                <w:rFonts w:hint="eastAsia" w:ascii="仿宋_GB2312" w:hAnsi="仿宋_GB2312" w:eastAsia="仿宋_GB2312" w:cs="仿宋_GB2312"/>
                <w:b w:val="0"/>
                <w:bCs w:val="0"/>
                <w:kern w:val="0"/>
                <w:sz w:val="28"/>
                <w:szCs w:val="28"/>
                <w:lang w:val="en-US" w:eastAsia="zh-CN" w:bidi="ar-SA"/>
              </w:rPr>
            </w:pPr>
          </w:p>
        </w:tc>
        <w:tc>
          <w:tcPr>
            <w:tcW w:w="658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beforeLines="0" w:afterLines="0" w:line="560" w:lineRule="exact"/>
              <w:ind w:firstLine="560" w:firstLineChars="200"/>
              <w:jc w:val="both"/>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kern w:val="0"/>
                <w:sz w:val="28"/>
                <w:szCs w:val="28"/>
                <w:lang w:val="en-US" w:eastAsia="zh-CN" w:bidi="ar-SA"/>
              </w:rPr>
              <w:t>第三章二十四条“……补充培训相关课程和完成相应学时”相关课程与学时是指十九条内容？不明确，建议补充具体培训内容、方法及途径。</w:t>
            </w:r>
          </w:p>
        </w:tc>
        <w:tc>
          <w:tcPr>
            <w:tcW w:w="196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beforeLines="0" w:afterLines="0" w:line="560" w:lineRule="exact"/>
              <w:ind w:firstLine="560" w:firstLineChars="200"/>
              <w:jc w:val="both"/>
              <w:textAlignment w:val="auto"/>
              <w:rPr>
                <w:rFonts w:hint="eastAsia" w:ascii="仿宋_GB2312" w:hAnsi="仿宋_GB2312" w:eastAsia="仿宋_GB2312" w:cs="仿宋_GB2312"/>
                <w:kern w:val="2"/>
                <w:sz w:val="28"/>
                <w:szCs w:val="28"/>
                <w:lang w:val="en-US" w:eastAsia="zh-CN" w:bidi="ar-SA"/>
              </w:rPr>
            </w:pPr>
          </w:p>
          <w:p>
            <w:pPr>
              <w:keepNext w:val="0"/>
              <w:keepLines w:val="0"/>
              <w:pageBreakBefore w:val="0"/>
              <w:kinsoku/>
              <w:wordWrap/>
              <w:overflowPunct/>
              <w:topLinePunct w:val="0"/>
              <w:autoSpaceDE/>
              <w:autoSpaceDN/>
              <w:bidi w:val="0"/>
              <w:adjustRightInd/>
              <w:snapToGrid/>
              <w:spacing w:beforeLines="0" w:afterLines="0" w:line="560" w:lineRule="exact"/>
              <w:ind w:firstLine="560" w:firstLineChars="20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b w:val="0"/>
                <w:bCs w:val="0"/>
                <w:kern w:val="0"/>
                <w:sz w:val="28"/>
                <w:szCs w:val="28"/>
                <w:lang w:val="en-US" w:eastAsia="zh-CN" w:bidi="ar-SA"/>
              </w:rPr>
              <w:t>采纳</w:t>
            </w:r>
          </w:p>
        </w:tc>
        <w:tc>
          <w:tcPr>
            <w:tcW w:w="33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val="0"/>
                <w:bCs w:val="0"/>
                <w:kern w:val="0"/>
                <w:sz w:val="28"/>
                <w:szCs w:val="28"/>
                <w:lang w:val="en-US" w:eastAsia="zh-CN" w:bidi="ar-SA"/>
              </w:rPr>
              <w:t>每年印发中医专科护士培训报名通知涵盖具体培训内容、方法及途径</w:t>
            </w:r>
            <w:r>
              <w:rPr>
                <w:rFonts w:hint="eastAsia" w:ascii="仿宋_GB2312" w:hAnsi="仿宋_GB2312" w:eastAsia="仿宋_GB2312" w:cs="仿宋_GB2312"/>
                <w:kern w:val="0"/>
                <w:sz w:val="28"/>
                <w:szCs w:val="28"/>
                <w:lang w:val="en-US" w:eastAsia="zh-CN"/>
              </w:rPr>
              <w:t>。</w:t>
            </w:r>
          </w:p>
        </w:tc>
      </w:tr>
      <w:tr>
        <w:tblPrEx>
          <w:tblCellMar>
            <w:top w:w="0" w:type="dxa"/>
            <w:left w:w="0" w:type="dxa"/>
            <w:bottom w:w="0" w:type="dxa"/>
            <w:right w:w="0" w:type="dxa"/>
          </w:tblCellMar>
        </w:tblPrEx>
        <w:trPr>
          <w:trHeight w:val="90" w:hRule="atLeast"/>
        </w:trPr>
        <w:tc>
          <w:tcPr>
            <w:tcW w:w="2048" w:type="dxa"/>
            <w:vMerge w:val="continue"/>
            <w:tcBorders>
              <w:left w:val="single" w:color="000000" w:sz="4" w:space="0"/>
              <w:right w:val="nil"/>
            </w:tcBorders>
            <w:vAlign w:val="top"/>
          </w:tcPr>
          <w:p>
            <w:pPr>
              <w:keepNext w:val="0"/>
              <w:keepLines w:val="0"/>
              <w:pageBreakBefore w:val="0"/>
              <w:kinsoku/>
              <w:wordWrap/>
              <w:overflowPunct/>
              <w:topLinePunct w:val="0"/>
              <w:autoSpaceDE/>
              <w:autoSpaceDN/>
              <w:bidi w:val="0"/>
              <w:adjustRightInd/>
              <w:snapToGrid/>
              <w:spacing w:beforeLines="0" w:afterLines="0" w:line="560" w:lineRule="exact"/>
              <w:ind w:firstLine="560" w:firstLineChars="200"/>
              <w:jc w:val="both"/>
              <w:textAlignment w:val="auto"/>
              <w:rPr>
                <w:rFonts w:hint="eastAsia" w:ascii="仿宋_GB2312" w:hAnsi="仿宋_GB2312" w:eastAsia="仿宋_GB2312" w:cs="仿宋_GB2312"/>
                <w:kern w:val="2"/>
                <w:sz w:val="28"/>
                <w:szCs w:val="28"/>
                <w:lang w:val="en-US" w:eastAsia="zh-CN" w:bidi="ar-SA"/>
              </w:rPr>
            </w:pPr>
          </w:p>
        </w:tc>
        <w:tc>
          <w:tcPr>
            <w:tcW w:w="658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beforeLines="0" w:afterLines="0" w:line="560" w:lineRule="exact"/>
              <w:ind w:firstLine="560" w:firstLineChars="20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b w:val="0"/>
                <w:bCs w:val="0"/>
                <w:kern w:val="0"/>
                <w:sz w:val="28"/>
                <w:szCs w:val="28"/>
                <w:lang w:val="en-US" w:eastAsia="zh-CN" w:bidi="ar-SA"/>
              </w:rPr>
              <w:t>办法中第二十四条：没有《深圳市中医专科护士进阶培训》的护士相关事项说明补充对中医专科护士进阶培训的护士相关事项说明。</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beforeLines="0" w:afterLines="0" w:line="560" w:lineRule="exact"/>
              <w:ind w:firstLine="560" w:firstLineChars="200"/>
              <w:jc w:val="both"/>
              <w:textAlignment w:val="auto"/>
              <w:rPr>
                <w:rFonts w:hint="eastAsia" w:ascii="仿宋_GB2312" w:hAnsi="仿宋_GB2312" w:eastAsia="仿宋_GB2312" w:cs="仿宋_GB2312"/>
                <w:kern w:val="2"/>
                <w:sz w:val="28"/>
                <w:szCs w:val="28"/>
                <w:lang w:val="en-US" w:eastAsia="zh-CN" w:bidi="ar-SA"/>
              </w:rPr>
            </w:pPr>
          </w:p>
          <w:p>
            <w:pPr>
              <w:keepNext w:val="0"/>
              <w:keepLines w:val="0"/>
              <w:pageBreakBefore w:val="0"/>
              <w:kinsoku/>
              <w:wordWrap/>
              <w:overflowPunct/>
              <w:topLinePunct w:val="0"/>
              <w:autoSpaceDE/>
              <w:autoSpaceDN/>
              <w:bidi w:val="0"/>
              <w:adjustRightInd/>
              <w:snapToGrid/>
              <w:spacing w:beforeLines="0" w:afterLines="0" w:line="560" w:lineRule="exact"/>
              <w:ind w:firstLine="560" w:firstLineChars="20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采纳</w:t>
            </w:r>
          </w:p>
        </w:tc>
        <w:tc>
          <w:tcPr>
            <w:tcW w:w="338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kern w:val="0"/>
                <w:sz w:val="28"/>
                <w:szCs w:val="28"/>
                <w:lang w:val="en-US" w:eastAsia="zh-CN" w:bidi="ar-SA"/>
              </w:rPr>
              <w:t>每年印发中医专科护士培训报名通知涵盖中医专科护士进阶培训的具体内容</w:t>
            </w:r>
            <w:r>
              <w:rPr>
                <w:rFonts w:hint="eastAsia" w:ascii="仿宋_GB2312" w:hAnsi="仿宋_GB2312" w:eastAsia="仿宋_GB2312" w:cs="仿宋_GB2312"/>
                <w:kern w:val="0"/>
                <w:sz w:val="28"/>
                <w:szCs w:val="28"/>
                <w:lang w:val="en-US" w:eastAsia="zh-CN"/>
              </w:rPr>
              <w:t>。</w:t>
            </w:r>
          </w:p>
        </w:tc>
      </w:tr>
      <w:tr>
        <w:tblPrEx>
          <w:tblCellMar>
            <w:top w:w="0" w:type="dxa"/>
            <w:left w:w="0" w:type="dxa"/>
            <w:bottom w:w="0" w:type="dxa"/>
            <w:right w:w="0" w:type="dxa"/>
          </w:tblCellMar>
        </w:tblPrEx>
        <w:tc>
          <w:tcPr>
            <w:tcW w:w="2048" w:type="dxa"/>
            <w:vMerge w:val="restart"/>
            <w:tcBorders>
              <w:left w:val="single" w:color="000000" w:sz="4" w:space="0"/>
              <w:right w:val="nil"/>
            </w:tcBorders>
            <w:vAlign w:val="top"/>
          </w:tcPr>
          <w:p>
            <w:pPr>
              <w:keepNext w:val="0"/>
              <w:keepLines w:val="0"/>
              <w:pageBreakBefore w:val="0"/>
              <w:kinsoku/>
              <w:wordWrap/>
              <w:overflowPunct/>
              <w:topLinePunct w:val="0"/>
              <w:autoSpaceDE/>
              <w:autoSpaceDN/>
              <w:bidi w:val="0"/>
              <w:adjustRightInd/>
              <w:snapToGrid/>
              <w:spacing w:beforeLines="0" w:afterLines="0" w:line="560" w:lineRule="exact"/>
              <w:ind w:firstLine="560" w:firstLineChars="200"/>
              <w:jc w:val="both"/>
              <w:textAlignment w:val="auto"/>
              <w:rPr>
                <w:rFonts w:hint="eastAsia" w:ascii="仿宋_GB2312" w:hAnsi="仿宋_GB2312" w:eastAsia="仿宋_GB2312" w:cs="仿宋_GB2312"/>
                <w:b w:val="0"/>
                <w:bCs w:val="0"/>
                <w:kern w:val="2"/>
                <w:sz w:val="28"/>
                <w:szCs w:val="28"/>
                <w:lang w:val="en-US" w:eastAsia="zh-CN" w:bidi="ar-SA"/>
              </w:rPr>
            </w:pPr>
          </w:p>
          <w:p>
            <w:pPr>
              <w:keepNext w:val="0"/>
              <w:keepLines w:val="0"/>
              <w:pageBreakBefore w:val="0"/>
              <w:kinsoku/>
              <w:wordWrap/>
              <w:overflowPunct/>
              <w:topLinePunct w:val="0"/>
              <w:autoSpaceDE/>
              <w:autoSpaceDN/>
              <w:bidi w:val="0"/>
              <w:adjustRightInd/>
              <w:snapToGrid/>
              <w:spacing w:beforeLines="0" w:afterLines="0" w:line="560" w:lineRule="exact"/>
              <w:ind w:firstLine="560" w:firstLineChars="200"/>
              <w:jc w:val="both"/>
              <w:textAlignment w:val="auto"/>
              <w:rPr>
                <w:rFonts w:hint="eastAsia" w:ascii="仿宋_GB2312" w:hAnsi="仿宋_GB2312" w:eastAsia="仿宋_GB2312" w:cs="仿宋_GB2312"/>
                <w:b w:val="0"/>
                <w:bCs w:val="0"/>
                <w:kern w:val="2"/>
                <w:sz w:val="28"/>
                <w:szCs w:val="28"/>
                <w:lang w:val="en-US" w:eastAsia="zh-CN" w:bidi="ar-SA"/>
              </w:rPr>
            </w:pPr>
          </w:p>
          <w:p>
            <w:pPr>
              <w:keepNext w:val="0"/>
              <w:keepLines w:val="0"/>
              <w:pageBreakBefore w:val="0"/>
              <w:kinsoku/>
              <w:wordWrap/>
              <w:overflowPunct/>
              <w:topLinePunct w:val="0"/>
              <w:autoSpaceDE/>
              <w:autoSpaceDN/>
              <w:bidi w:val="0"/>
              <w:adjustRightInd/>
              <w:snapToGrid/>
              <w:spacing w:beforeLines="0" w:afterLines="0" w:line="560" w:lineRule="exact"/>
              <w:ind w:firstLine="560" w:firstLineChars="200"/>
              <w:jc w:val="both"/>
              <w:textAlignment w:val="auto"/>
              <w:rPr>
                <w:rFonts w:hint="eastAsia" w:ascii="仿宋_GB2312" w:hAnsi="仿宋_GB2312" w:eastAsia="仿宋_GB2312" w:cs="仿宋_GB2312"/>
                <w:b w:val="0"/>
                <w:bCs w:val="0"/>
                <w:kern w:val="2"/>
                <w:sz w:val="28"/>
                <w:szCs w:val="28"/>
                <w:lang w:val="en-US" w:eastAsia="zh-CN" w:bidi="ar-SA"/>
              </w:rPr>
            </w:pPr>
          </w:p>
          <w:p>
            <w:pPr>
              <w:keepNext w:val="0"/>
              <w:keepLines w:val="0"/>
              <w:pageBreakBefore w:val="0"/>
              <w:kinsoku/>
              <w:wordWrap/>
              <w:overflowPunct/>
              <w:topLinePunct w:val="0"/>
              <w:autoSpaceDE/>
              <w:autoSpaceDN/>
              <w:bidi w:val="0"/>
              <w:adjustRightInd/>
              <w:snapToGrid/>
              <w:spacing w:beforeLines="0" w:afterLines="0" w:line="560" w:lineRule="exact"/>
              <w:ind w:firstLine="560" w:firstLineChars="200"/>
              <w:jc w:val="both"/>
              <w:textAlignment w:val="auto"/>
              <w:rPr>
                <w:rFonts w:hint="eastAsia" w:ascii="仿宋_GB2312" w:hAnsi="仿宋_GB2312" w:eastAsia="仿宋_GB2312" w:cs="仿宋_GB2312"/>
                <w:b w:val="0"/>
                <w:bCs w:val="0"/>
                <w:kern w:val="2"/>
                <w:sz w:val="28"/>
                <w:szCs w:val="28"/>
                <w:lang w:val="en-US" w:eastAsia="zh-CN" w:bidi="ar-SA"/>
              </w:rPr>
            </w:pPr>
          </w:p>
          <w:p>
            <w:pPr>
              <w:keepNext w:val="0"/>
              <w:keepLines w:val="0"/>
              <w:pageBreakBefore w:val="0"/>
              <w:kinsoku/>
              <w:wordWrap/>
              <w:overflowPunct/>
              <w:topLinePunct w:val="0"/>
              <w:autoSpaceDE/>
              <w:autoSpaceDN/>
              <w:bidi w:val="0"/>
              <w:adjustRightInd/>
              <w:snapToGrid/>
              <w:spacing w:beforeLines="0" w:afterLines="0" w:line="560" w:lineRule="exact"/>
              <w:ind w:firstLine="560" w:firstLineChars="200"/>
              <w:jc w:val="both"/>
              <w:textAlignment w:val="auto"/>
              <w:rPr>
                <w:rFonts w:hint="eastAsia" w:ascii="仿宋_GB2312" w:hAnsi="仿宋_GB2312" w:eastAsia="仿宋_GB2312" w:cs="仿宋_GB2312"/>
                <w:b w:val="0"/>
                <w:bCs w:val="0"/>
                <w:kern w:val="2"/>
                <w:sz w:val="28"/>
                <w:szCs w:val="28"/>
                <w:lang w:val="en-US" w:eastAsia="zh-CN" w:bidi="ar-SA"/>
              </w:rPr>
            </w:pPr>
          </w:p>
          <w:p>
            <w:pPr>
              <w:keepNext w:val="0"/>
              <w:keepLines w:val="0"/>
              <w:pageBreakBefore w:val="0"/>
              <w:kinsoku/>
              <w:wordWrap/>
              <w:overflowPunct/>
              <w:topLinePunct w:val="0"/>
              <w:autoSpaceDE/>
              <w:autoSpaceDN/>
              <w:bidi w:val="0"/>
              <w:adjustRightInd/>
              <w:snapToGrid/>
              <w:spacing w:beforeLines="0" w:afterLines="0" w:line="560" w:lineRule="exact"/>
              <w:ind w:firstLine="560" w:firstLineChars="200"/>
              <w:jc w:val="both"/>
              <w:textAlignment w:val="auto"/>
              <w:rPr>
                <w:rFonts w:hint="eastAsia" w:ascii="仿宋_GB2312" w:hAnsi="仿宋_GB2312" w:eastAsia="仿宋_GB2312" w:cs="仿宋_GB2312"/>
                <w:b w:val="0"/>
                <w:bCs w:val="0"/>
                <w:kern w:val="2"/>
                <w:sz w:val="28"/>
                <w:szCs w:val="28"/>
                <w:lang w:val="en-US" w:eastAsia="zh-CN" w:bidi="ar-SA"/>
              </w:rPr>
            </w:pPr>
          </w:p>
          <w:p>
            <w:pPr>
              <w:keepNext w:val="0"/>
              <w:keepLines w:val="0"/>
              <w:pageBreakBefore w:val="0"/>
              <w:kinsoku/>
              <w:wordWrap/>
              <w:overflowPunct/>
              <w:topLinePunct w:val="0"/>
              <w:autoSpaceDE/>
              <w:autoSpaceDN/>
              <w:bidi w:val="0"/>
              <w:adjustRightInd/>
              <w:snapToGrid/>
              <w:spacing w:beforeLines="0" w:afterLines="0" w:line="560" w:lineRule="exact"/>
              <w:ind w:firstLine="560" w:firstLineChars="200"/>
              <w:jc w:val="both"/>
              <w:textAlignment w:val="auto"/>
              <w:rPr>
                <w:rFonts w:hint="eastAsia" w:ascii="仿宋_GB2312" w:hAnsi="仿宋_GB2312" w:eastAsia="仿宋_GB2312" w:cs="仿宋_GB2312"/>
                <w:b w:val="0"/>
                <w:bCs w:val="0"/>
                <w:kern w:val="2"/>
                <w:sz w:val="28"/>
                <w:szCs w:val="28"/>
                <w:lang w:val="en-US" w:eastAsia="zh-CN" w:bidi="ar-SA"/>
              </w:rPr>
            </w:pPr>
          </w:p>
          <w:p>
            <w:pPr>
              <w:keepNext w:val="0"/>
              <w:keepLines w:val="0"/>
              <w:pageBreakBefore w:val="0"/>
              <w:kinsoku/>
              <w:wordWrap/>
              <w:overflowPunct/>
              <w:topLinePunct w:val="0"/>
              <w:autoSpaceDE/>
              <w:autoSpaceDN/>
              <w:bidi w:val="0"/>
              <w:adjustRightInd/>
              <w:snapToGrid/>
              <w:spacing w:beforeLines="0" w:afterLines="0" w:line="560" w:lineRule="exact"/>
              <w:ind w:firstLine="560" w:firstLineChars="200"/>
              <w:jc w:val="both"/>
              <w:textAlignment w:val="auto"/>
              <w:rPr>
                <w:rFonts w:hint="eastAsia" w:ascii="仿宋_GB2312" w:hAnsi="仿宋_GB2312" w:eastAsia="仿宋_GB2312" w:cs="仿宋_GB2312"/>
                <w:b w:val="0"/>
                <w:bCs w:val="0"/>
                <w:kern w:val="2"/>
                <w:sz w:val="28"/>
                <w:szCs w:val="28"/>
                <w:lang w:val="en-US" w:eastAsia="zh-CN" w:bidi="ar-SA"/>
              </w:rPr>
            </w:pPr>
          </w:p>
          <w:p>
            <w:pPr>
              <w:keepNext w:val="0"/>
              <w:keepLines w:val="0"/>
              <w:pageBreakBefore w:val="0"/>
              <w:kinsoku/>
              <w:wordWrap/>
              <w:overflowPunct/>
              <w:topLinePunct w:val="0"/>
              <w:autoSpaceDE/>
              <w:autoSpaceDN/>
              <w:bidi w:val="0"/>
              <w:adjustRightInd/>
              <w:snapToGrid/>
              <w:spacing w:beforeLines="0" w:afterLines="0" w:line="560" w:lineRule="exact"/>
              <w:ind w:firstLine="560" w:firstLineChars="200"/>
              <w:jc w:val="both"/>
              <w:textAlignment w:val="auto"/>
              <w:rPr>
                <w:rFonts w:hint="default" w:ascii="仿宋_GB2312" w:hAnsi="仿宋_GB2312" w:eastAsia="仿宋_GB2312" w:cs="仿宋_GB2312"/>
                <w:kern w:val="2"/>
                <w:sz w:val="28"/>
                <w:szCs w:val="28"/>
                <w:lang w:val="en-US" w:eastAsia="zh-CN" w:bidi="ar-SA"/>
              </w:rPr>
            </w:pPr>
            <w:bookmarkStart w:id="0" w:name="_GoBack"/>
            <w:bookmarkEnd w:id="0"/>
            <w:r>
              <w:rPr>
                <w:rFonts w:hint="eastAsia" w:ascii="仿宋_GB2312" w:hAnsi="仿宋_GB2312" w:eastAsia="仿宋_GB2312" w:cs="仿宋_GB2312"/>
                <w:b w:val="0"/>
                <w:bCs w:val="0"/>
                <w:kern w:val="2"/>
                <w:sz w:val="28"/>
                <w:szCs w:val="28"/>
                <w:lang w:val="en-US" w:eastAsia="zh-CN" w:bidi="ar-SA"/>
              </w:rPr>
              <w:t>市民2</w:t>
            </w:r>
          </w:p>
        </w:tc>
        <w:tc>
          <w:tcPr>
            <w:tcW w:w="658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 w:val="0"/>
                <w:bCs w:val="0"/>
                <w:kern w:val="0"/>
                <w:sz w:val="28"/>
                <w:szCs w:val="28"/>
                <w:lang w:val="en-US" w:eastAsia="zh-CN" w:bidi="ar-SA"/>
              </w:rPr>
            </w:pPr>
            <w:r>
              <w:rPr>
                <w:rFonts w:hint="eastAsia" w:ascii="仿宋" w:hAnsi="仿宋" w:eastAsia="仿宋"/>
                <w:sz w:val="30"/>
                <w:szCs w:val="30"/>
              </w:rPr>
              <w:t>第</w:t>
            </w:r>
            <w:r>
              <w:rPr>
                <w:rFonts w:ascii="仿宋" w:hAnsi="仿宋" w:eastAsia="仿宋"/>
                <w:sz w:val="30"/>
                <w:szCs w:val="30"/>
              </w:rPr>
              <w:t>三章</w:t>
            </w:r>
            <w:r>
              <w:rPr>
                <w:rFonts w:hint="eastAsia" w:ascii="仿宋" w:hAnsi="仿宋" w:eastAsia="仿宋"/>
                <w:sz w:val="30"/>
                <w:szCs w:val="30"/>
              </w:rPr>
              <w:t xml:space="preserve"> 培训</w:t>
            </w:r>
            <w:r>
              <w:rPr>
                <w:rFonts w:ascii="仿宋" w:hAnsi="仿宋" w:eastAsia="仿宋"/>
                <w:sz w:val="30"/>
                <w:szCs w:val="30"/>
              </w:rPr>
              <w:t>考核</w:t>
            </w:r>
            <w:r>
              <w:rPr>
                <w:rFonts w:hint="eastAsia" w:ascii="仿宋" w:hAnsi="仿宋" w:eastAsia="仿宋"/>
                <w:sz w:val="30"/>
                <w:szCs w:val="30"/>
              </w:rPr>
              <w:t xml:space="preserve"> 第</w:t>
            </w:r>
            <w:r>
              <w:rPr>
                <w:rFonts w:ascii="仿宋" w:hAnsi="仿宋" w:eastAsia="仿宋"/>
                <w:sz w:val="30"/>
                <w:szCs w:val="30"/>
              </w:rPr>
              <w:t>十九</w:t>
            </w:r>
            <w:r>
              <w:rPr>
                <w:rFonts w:hint="eastAsia" w:ascii="仿宋" w:hAnsi="仿宋" w:eastAsia="仿宋"/>
                <w:sz w:val="30"/>
                <w:szCs w:val="30"/>
              </w:rPr>
              <w:t>条 “中医专科护士培训应在6个月内完成，总时长不少于1000学时”不清晰这1000学时如何完成和计算。</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beforeLines="0" w:afterLines="0" w:line="560" w:lineRule="exact"/>
              <w:ind w:firstLine="560" w:firstLineChars="200"/>
              <w:jc w:val="both"/>
              <w:textAlignment w:val="auto"/>
              <w:rPr>
                <w:rFonts w:hint="eastAsia" w:ascii="仿宋_GB2312" w:hAnsi="仿宋_GB2312" w:eastAsia="仿宋_GB2312" w:cs="仿宋_GB2312"/>
                <w:b w:val="0"/>
                <w:bCs w:val="0"/>
                <w:kern w:val="0"/>
                <w:sz w:val="28"/>
                <w:szCs w:val="28"/>
                <w:lang w:val="en-US" w:eastAsia="zh-CN" w:bidi="ar-SA"/>
              </w:rPr>
            </w:pPr>
          </w:p>
          <w:p>
            <w:pPr>
              <w:keepNext w:val="0"/>
              <w:keepLines w:val="0"/>
              <w:pageBreakBefore w:val="0"/>
              <w:kinsoku/>
              <w:wordWrap/>
              <w:overflowPunct/>
              <w:topLinePunct w:val="0"/>
              <w:autoSpaceDE/>
              <w:autoSpaceDN/>
              <w:bidi w:val="0"/>
              <w:adjustRightInd/>
              <w:snapToGrid/>
              <w:spacing w:beforeLines="0" w:afterLines="0" w:line="560" w:lineRule="exact"/>
              <w:ind w:firstLine="560" w:firstLineChars="200"/>
              <w:jc w:val="both"/>
              <w:textAlignment w:val="auto"/>
              <w:rPr>
                <w:rFonts w:hint="default"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kern w:val="0"/>
                <w:sz w:val="28"/>
                <w:szCs w:val="28"/>
                <w:lang w:val="en-US" w:eastAsia="zh-CN" w:bidi="ar-SA"/>
              </w:rPr>
              <w:t>采纳</w:t>
            </w:r>
          </w:p>
        </w:tc>
        <w:tc>
          <w:tcPr>
            <w:tcW w:w="338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kern w:val="0"/>
                <w:sz w:val="28"/>
                <w:szCs w:val="28"/>
                <w:lang w:val="en-US" w:eastAsia="zh-CN" w:bidi="ar-SA"/>
              </w:rPr>
              <w:t>每年印发中医专科护士培训报名通知涵盖1000学时的具体内容</w:t>
            </w:r>
            <w:r>
              <w:rPr>
                <w:rFonts w:hint="eastAsia" w:ascii="仿宋_GB2312" w:hAnsi="仿宋_GB2312" w:eastAsia="仿宋_GB2312" w:cs="仿宋_GB2312"/>
                <w:kern w:val="0"/>
                <w:sz w:val="28"/>
                <w:szCs w:val="28"/>
                <w:lang w:val="en-US" w:eastAsia="zh-CN"/>
              </w:rPr>
              <w:t>。</w:t>
            </w:r>
          </w:p>
        </w:tc>
      </w:tr>
      <w:tr>
        <w:tblPrEx>
          <w:tblCellMar>
            <w:top w:w="0" w:type="dxa"/>
            <w:left w:w="0" w:type="dxa"/>
            <w:bottom w:w="0" w:type="dxa"/>
            <w:right w:w="0" w:type="dxa"/>
          </w:tblCellMar>
        </w:tblPrEx>
        <w:tc>
          <w:tcPr>
            <w:tcW w:w="2048" w:type="dxa"/>
            <w:vMerge w:val="continue"/>
            <w:tcBorders>
              <w:left w:val="single" w:color="000000" w:sz="4" w:space="0"/>
              <w:right w:val="nil"/>
            </w:tcBorders>
            <w:vAlign w:val="top"/>
          </w:tcPr>
          <w:p>
            <w:pPr>
              <w:keepNext w:val="0"/>
              <w:keepLines w:val="0"/>
              <w:pageBreakBefore w:val="0"/>
              <w:kinsoku/>
              <w:wordWrap/>
              <w:overflowPunct/>
              <w:topLinePunct w:val="0"/>
              <w:autoSpaceDE/>
              <w:autoSpaceDN/>
              <w:bidi w:val="0"/>
              <w:adjustRightInd/>
              <w:snapToGrid/>
              <w:spacing w:beforeLines="0" w:afterLines="0" w:line="560" w:lineRule="exact"/>
              <w:ind w:firstLine="560" w:firstLineChars="200"/>
              <w:jc w:val="both"/>
              <w:textAlignment w:val="auto"/>
              <w:rPr>
                <w:rFonts w:hint="eastAsia" w:ascii="仿宋_GB2312" w:hAnsi="仿宋_GB2312" w:eastAsia="仿宋_GB2312" w:cs="仿宋_GB2312"/>
                <w:kern w:val="2"/>
                <w:sz w:val="28"/>
                <w:szCs w:val="28"/>
                <w:lang w:val="en-US" w:eastAsia="zh-CN" w:bidi="ar-SA"/>
              </w:rPr>
            </w:pPr>
          </w:p>
        </w:tc>
        <w:tc>
          <w:tcPr>
            <w:tcW w:w="658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beforeLines="0" w:afterLines="0" w:line="560" w:lineRule="exact"/>
              <w:jc w:val="both"/>
              <w:textAlignment w:val="auto"/>
              <w:rPr>
                <w:rFonts w:hint="eastAsia" w:ascii="仿宋_GB2312" w:hAnsi="仿宋_GB2312" w:eastAsia="仿宋_GB2312" w:cs="仿宋_GB2312"/>
                <w:b w:val="0"/>
                <w:bCs w:val="0"/>
                <w:kern w:val="0"/>
                <w:sz w:val="28"/>
                <w:szCs w:val="28"/>
                <w:lang w:val="en-US" w:eastAsia="zh-CN" w:bidi="ar-SA"/>
              </w:rPr>
            </w:pPr>
            <w:r>
              <w:rPr>
                <w:rFonts w:hint="eastAsia" w:ascii="仿宋" w:hAnsi="仿宋" w:eastAsia="仿宋"/>
                <w:sz w:val="30"/>
                <w:szCs w:val="30"/>
              </w:rPr>
              <w:t>第</w:t>
            </w:r>
            <w:r>
              <w:rPr>
                <w:rFonts w:ascii="仿宋" w:hAnsi="仿宋" w:eastAsia="仿宋"/>
                <w:sz w:val="30"/>
                <w:szCs w:val="30"/>
              </w:rPr>
              <w:t>三章</w:t>
            </w:r>
            <w:r>
              <w:rPr>
                <w:rFonts w:hint="eastAsia" w:ascii="仿宋" w:hAnsi="仿宋" w:eastAsia="仿宋"/>
                <w:sz w:val="30"/>
                <w:szCs w:val="30"/>
              </w:rPr>
              <w:t xml:space="preserve"> 培训</w:t>
            </w:r>
            <w:r>
              <w:rPr>
                <w:rFonts w:ascii="仿宋" w:hAnsi="仿宋" w:eastAsia="仿宋"/>
                <w:sz w:val="30"/>
                <w:szCs w:val="30"/>
              </w:rPr>
              <w:t>考核</w:t>
            </w:r>
            <w:r>
              <w:rPr>
                <w:rFonts w:hint="eastAsia" w:ascii="仿宋" w:hAnsi="仿宋" w:eastAsia="仿宋"/>
                <w:sz w:val="30"/>
                <w:szCs w:val="30"/>
              </w:rPr>
              <w:t xml:space="preserve"> 第</w:t>
            </w:r>
            <w:r>
              <w:rPr>
                <w:rFonts w:ascii="仿宋" w:hAnsi="仿宋" w:eastAsia="仿宋"/>
                <w:sz w:val="30"/>
                <w:szCs w:val="30"/>
              </w:rPr>
              <w:t>二十四</w:t>
            </w:r>
            <w:r>
              <w:rPr>
                <w:rFonts w:hint="eastAsia" w:ascii="仿宋" w:hAnsi="仿宋" w:eastAsia="仿宋"/>
                <w:sz w:val="30"/>
                <w:szCs w:val="30"/>
              </w:rPr>
              <w:t>条 其中</w:t>
            </w:r>
            <w:r>
              <w:rPr>
                <w:rFonts w:ascii="仿宋" w:hAnsi="仿宋" w:eastAsia="仿宋"/>
                <w:sz w:val="30"/>
                <w:szCs w:val="30"/>
              </w:rPr>
              <w:t>“</w:t>
            </w:r>
            <w:r>
              <w:rPr>
                <w:rFonts w:hint="eastAsia" w:ascii="仿宋" w:hAnsi="仿宋" w:eastAsia="仿宋" w:cs="仿宋_GB2312"/>
                <w:color w:val="000000"/>
                <w:sz w:val="30"/>
                <w:szCs w:val="30"/>
              </w:rPr>
              <w:t>参加下列机构组织的连续3个月以上专科护士培训</w:t>
            </w:r>
            <w:r>
              <w:rPr>
                <w:rFonts w:ascii="仿宋" w:hAnsi="仿宋" w:eastAsia="仿宋"/>
                <w:sz w:val="30"/>
                <w:szCs w:val="30"/>
              </w:rPr>
              <w:t>”</w:t>
            </w:r>
            <w:r>
              <w:rPr>
                <w:rFonts w:hint="eastAsia" w:ascii="仿宋" w:hAnsi="仿宋" w:eastAsia="仿宋"/>
                <w:sz w:val="30"/>
                <w:szCs w:val="30"/>
              </w:rPr>
              <w:t>。</w:t>
            </w:r>
            <w:r>
              <w:rPr>
                <w:rFonts w:ascii="仿宋" w:hAnsi="仿宋" w:eastAsia="仿宋"/>
                <w:sz w:val="30"/>
                <w:szCs w:val="30"/>
              </w:rPr>
              <w:t>中华护理学会的中医</w:t>
            </w:r>
            <w:r>
              <w:rPr>
                <w:rFonts w:hint="eastAsia" w:ascii="仿宋" w:hAnsi="仿宋" w:eastAsia="仿宋"/>
                <w:sz w:val="30"/>
                <w:szCs w:val="30"/>
              </w:rPr>
              <w:t>护理</w:t>
            </w:r>
            <w:r>
              <w:rPr>
                <w:rFonts w:ascii="仿宋" w:hAnsi="仿宋" w:eastAsia="仿宋"/>
                <w:sz w:val="30"/>
                <w:szCs w:val="30"/>
              </w:rPr>
              <w:t>治疗专科护士</w:t>
            </w:r>
            <w:r>
              <w:rPr>
                <w:rFonts w:hint="eastAsia" w:ascii="仿宋" w:hAnsi="仿宋" w:eastAsia="仿宋"/>
                <w:sz w:val="30"/>
                <w:szCs w:val="30"/>
              </w:rPr>
              <w:t>培训</w:t>
            </w:r>
            <w:r>
              <w:rPr>
                <w:rFonts w:ascii="仿宋" w:hAnsi="仿宋" w:eastAsia="仿宋"/>
                <w:sz w:val="30"/>
                <w:szCs w:val="30"/>
              </w:rPr>
              <w:t>时间</w:t>
            </w:r>
            <w:r>
              <w:rPr>
                <w:rFonts w:hint="eastAsia" w:ascii="仿宋" w:hAnsi="仿宋" w:eastAsia="仿宋"/>
                <w:sz w:val="30"/>
                <w:szCs w:val="30"/>
              </w:rPr>
              <w:t>为2个</w:t>
            </w:r>
            <w:r>
              <w:rPr>
                <w:rFonts w:ascii="仿宋" w:hAnsi="仿宋" w:eastAsia="仿宋"/>
                <w:sz w:val="30"/>
                <w:szCs w:val="30"/>
              </w:rPr>
              <w:t>月，</w:t>
            </w:r>
            <w:r>
              <w:rPr>
                <w:rFonts w:hint="eastAsia" w:ascii="仿宋" w:hAnsi="仿宋" w:eastAsia="仿宋"/>
                <w:sz w:val="30"/>
                <w:szCs w:val="30"/>
              </w:rPr>
              <w:t>请</w:t>
            </w:r>
            <w:r>
              <w:rPr>
                <w:rFonts w:ascii="仿宋" w:hAnsi="仿宋" w:eastAsia="仿宋"/>
                <w:sz w:val="30"/>
                <w:szCs w:val="30"/>
              </w:rPr>
              <w:t>考虑</w:t>
            </w:r>
            <w:r>
              <w:rPr>
                <w:rFonts w:hint="eastAsia" w:ascii="仿宋" w:hAnsi="仿宋" w:eastAsia="仿宋"/>
                <w:sz w:val="30"/>
                <w:szCs w:val="30"/>
              </w:rPr>
              <w:t>取得</w:t>
            </w:r>
            <w:r>
              <w:rPr>
                <w:rFonts w:ascii="仿宋" w:hAnsi="仿宋" w:eastAsia="仿宋"/>
                <w:sz w:val="30"/>
                <w:szCs w:val="30"/>
              </w:rPr>
              <w:t>这个培训证书的这一部分人员实际</w:t>
            </w:r>
            <w:r>
              <w:rPr>
                <w:rFonts w:hint="eastAsia" w:ascii="仿宋" w:hAnsi="仿宋" w:eastAsia="仿宋"/>
                <w:sz w:val="30"/>
                <w:szCs w:val="30"/>
              </w:rPr>
              <w:t>情况</w:t>
            </w:r>
            <w:r>
              <w:rPr>
                <w:rFonts w:ascii="仿宋" w:hAnsi="仿宋" w:eastAsia="仿宋"/>
                <w:sz w:val="30"/>
                <w:szCs w:val="30"/>
              </w:rPr>
              <w:t>，建议</w:t>
            </w:r>
            <w:r>
              <w:rPr>
                <w:rFonts w:hint="eastAsia" w:ascii="仿宋" w:hAnsi="仿宋" w:eastAsia="仿宋"/>
                <w:sz w:val="30"/>
                <w:szCs w:val="30"/>
              </w:rPr>
              <w:t>：①</w:t>
            </w:r>
            <w:r>
              <w:rPr>
                <w:rFonts w:ascii="仿宋" w:hAnsi="仿宋" w:eastAsia="仿宋"/>
                <w:sz w:val="30"/>
                <w:szCs w:val="30"/>
              </w:rPr>
              <w:t>更改为“</w:t>
            </w:r>
            <w:r>
              <w:rPr>
                <w:rFonts w:hint="eastAsia" w:ascii="仿宋" w:hAnsi="仿宋" w:eastAsia="仿宋" w:cs="仿宋_GB2312"/>
                <w:color w:val="000000"/>
                <w:sz w:val="30"/>
                <w:szCs w:val="30"/>
              </w:rPr>
              <w:t>参加下列机构组织的连续2-3个月以上专科护士培训</w:t>
            </w:r>
            <w:r>
              <w:rPr>
                <w:rFonts w:ascii="仿宋" w:hAnsi="仿宋" w:eastAsia="仿宋"/>
                <w:sz w:val="30"/>
                <w:szCs w:val="30"/>
              </w:rPr>
              <w:t>”，</w:t>
            </w:r>
            <w:r>
              <w:rPr>
                <w:rFonts w:hint="eastAsia" w:ascii="仿宋" w:hAnsi="仿宋" w:eastAsia="仿宋"/>
                <w:sz w:val="30"/>
                <w:szCs w:val="30"/>
              </w:rPr>
              <w:t>②</w:t>
            </w:r>
            <w:r>
              <w:rPr>
                <w:rFonts w:ascii="仿宋" w:hAnsi="仿宋" w:eastAsia="仿宋"/>
                <w:sz w:val="30"/>
                <w:szCs w:val="30"/>
              </w:rPr>
              <w:t>参加深圳市组织的专项培训</w:t>
            </w:r>
            <w:r>
              <w:rPr>
                <w:rFonts w:hint="eastAsia" w:ascii="仿宋" w:hAnsi="仿宋" w:eastAsia="仿宋"/>
                <w:sz w:val="30"/>
                <w:szCs w:val="30"/>
              </w:rPr>
              <w:t>补足3个月。</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beforeLines="0" w:afterLines="0" w:line="560" w:lineRule="exact"/>
              <w:ind w:firstLine="560" w:firstLineChars="200"/>
              <w:jc w:val="both"/>
              <w:textAlignment w:val="auto"/>
              <w:rPr>
                <w:rFonts w:hint="eastAsia" w:ascii="仿宋_GB2312" w:hAnsi="仿宋_GB2312" w:eastAsia="仿宋_GB2312" w:cs="仿宋_GB2312"/>
                <w:b w:val="0"/>
                <w:bCs w:val="0"/>
                <w:kern w:val="0"/>
                <w:sz w:val="28"/>
                <w:szCs w:val="28"/>
                <w:lang w:val="en-US" w:eastAsia="zh-CN" w:bidi="ar-SA"/>
              </w:rPr>
            </w:pPr>
          </w:p>
          <w:p>
            <w:pPr>
              <w:keepNext w:val="0"/>
              <w:keepLines w:val="0"/>
              <w:pageBreakBefore w:val="0"/>
              <w:kinsoku/>
              <w:wordWrap/>
              <w:overflowPunct/>
              <w:topLinePunct w:val="0"/>
              <w:autoSpaceDE/>
              <w:autoSpaceDN/>
              <w:bidi w:val="0"/>
              <w:adjustRightInd/>
              <w:snapToGrid/>
              <w:spacing w:beforeLines="0" w:afterLines="0" w:line="560" w:lineRule="exact"/>
              <w:ind w:firstLine="560" w:firstLineChars="200"/>
              <w:jc w:val="both"/>
              <w:textAlignment w:val="auto"/>
              <w:rPr>
                <w:rFonts w:hint="eastAsia" w:ascii="仿宋_GB2312" w:hAnsi="仿宋_GB2312" w:eastAsia="仿宋_GB2312" w:cs="仿宋_GB2312"/>
                <w:b w:val="0"/>
                <w:bCs w:val="0"/>
                <w:kern w:val="0"/>
                <w:sz w:val="28"/>
                <w:szCs w:val="28"/>
                <w:lang w:val="en-US" w:eastAsia="zh-CN" w:bidi="ar-SA"/>
              </w:rPr>
            </w:pPr>
          </w:p>
          <w:p>
            <w:pPr>
              <w:keepNext w:val="0"/>
              <w:keepLines w:val="0"/>
              <w:pageBreakBefore w:val="0"/>
              <w:kinsoku/>
              <w:wordWrap/>
              <w:overflowPunct/>
              <w:topLinePunct w:val="0"/>
              <w:autoSpaceDE/>
              <w:autoSpaceDN/>
              <w:bidi w:val="0"/>
              <w:adjustRightInd/>
              <w:snapToGrid/>
              <w:spacing w:beforeLines="0" w:afterLines="0" w:line="560" w:lineRule="exact"/>
              <w:ind w:firstLine="560" w:firstLineChars="200"/>
              <w:jc w:val="both"/>
              <w:textAlignment w:val="auto"/>
              <w:rPr>
                <w:rFonts w:hint="default"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kern w:val="0"/>
                <w:sz w:val="28"/>
                <w:szCs w:val="28"/>
                <w:lang w:val="en-US" w:eastAsia="zh-CN" w:bidi="ar-SA"/>
              </w:rPr>
              <w:t>不采纳</w:t>
            </w:r>
          </w:p>
        </w:tc>
        <w:tc>
          <w:tcPr>
            <w:tcW w:w="338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kern w:val="0"/>
                <w:sz w:val="28"/>
                <w:szCs w:val="28"/>
                <w:lang w:val="en-US" w:eastAsia="zh-CN" w:bidi="ar-SA"/>
              </w:rPr>
              <w:t>申请取得深圳市中医专科护士培训证书的应当按照我市中医专科护士培训大纲补充培训相应课程和学时。</w:t>
            </w:r>
          </w:p>
        </w:tc>
      </w:tr>
      <w:tr>
        <w:tblPrEx>
          <w:tblCellMar>
            <w:top w:w="0" w:type="dxa"/>
            <w:left w:w="0" w:type="dxa"/>
            <w:bottom w:w="0" w:type="dxa"/>
            <w:right w:w="0" w:type="dxa"/>
          </w:tblCellMar>
        </w:tblPrEx>
        <w:tc>
          <w:tcPr>
            <w:tcW w:w="2048" w:type="dxa"/>
            <w:vMerge w:val="continue"/>
            <w:tcBorders>
              <w:left w:val="single" w:color="000000" w:sz="4" w:space="0"/>
              <w:right w:val="nil"/>
            </w:tcBorders>
            <w:vAlign w:val="top"/>
          </w:tcPr>
          <w:p>
            <w:pPr>
              <w:keepNext w:val="0"/>
              <w:keepLines w:val="0"/>
              <w:pageBreakBefore w:val="0"/>
              <w:kinsoku/>
              <w:wordWrap/>
              <w:overflowPunct/>
              <w:topLinePunct w:val="0"/>
              <w:autoSpaceDE/>
              <w:autoSpaceDN/>
              <w:bidi w:val="0"/>
              <w:adjustRightInd/>
              <w:snapToGrid/>
              <w:spacing w:beforeLines="0" w:afterLines="0" w:line="560" w:lineRule="exact"/>
              <w:ind w:firstLine="560" w:firstLineChars="200"/>
              <w:jc w:val="both"/>
              <w:textAlignment w:val="auto"/>
              <w:rPr>
                <w:rFonts w:hint="eastAsia" w:ascii="仿宋_GB2312" w:hAnsi="仿宋_GB2312" w:eastAsia="仿宋_GB2312" w:cs="仿宋_GB2312"/>
                <w:kern w:val="2"/>
                <w:sz w:val="28"/>
                <w:szCs w:val="28"/>
                <w:lang w:val="en-US" w:eastAsia="zh-CN" w:bidi="ar-SA"/>
              </w:rPr>
            </w:pPr>
          </w:p>
        </w:tc>
        <w:tc>
          <w:tcPr>
            <w:tcW w:w="658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beforeLines="0" w:afterLines="0" w:line="560" w:lineRule="exact"/>
              <w:jc w:val="both"/>
              <w:textAlignment w:val="auto"/>
              <w:rPr>
                <w:rFonts w:hint="eastAsia" w:ascii="仿宋" w:hAnsi="仿宋" w:eastAsia="仿宋"/>
                <w:sz w:val="30"/>
                <w:szCs w:val="30"/>
              </w:rPr>
            </w:pPr>
            <w:r>
              <w:rPr>
                <w:rFonts w:hint="eastAsia" w:ascii="仿宋" w:hAnsi="仿宋" w:eastAsia="仿宋"/>
                <w:sz w:val="30"/>
                <w:szCs w:val="30"/>
              </w:rPr>
              <w:t>深圳市进阶的中医专科护士、广东省护士协会认证过的专科护士、</w:t>
            </w:r>
            <w:r>
              <w:rPr>
                <w:rFonts w:ascii="仿宋" w:hAnsi="仿宋" w:eastAsia="仿宋"/>
                <w:sz w:val="30"/>
                <w:szCs w:val="30"/>
              </w:rPr>
              <w:t>深圳市</w:t>
            </w:r>
            <w:r>
              <w:rPr>
                <w:rFonts w:hint="eastAsia" w:ascii="仿宋" w:hAnsi="仿宋" w:eastAsia="仿宋"/>
                <w:sz w:val="30"/>
                <w:szCs w:val="30"/>
              </w:rPr>
              <w:t>卫生</w:t>
            </w:r>
            <w:r>
              <w:rPr>
                <w:rFonts w:ascii="仿宋" w:hAnsi="仿宋" w:eastAsia="仿宋"/>
                <w:sz w:val="30"/>
                <w:szCs w:val="30"/>
              </w:rPr>
              <w:t>健康菁英人才、</w:t>
            </w:r>
            <w:r>
              <w:rPr>
                <w:rFonts w:hint="eastAsia" w:ascii="仿宋" w:hAnsi="仿宋" w:eastAsia="仿宋"/>
                <w:sz w:val="30"/>
                <w:szCs w:val="30"/>
              </w:rPr>
              <w:t>深圳市</w:t>
            </w:r>
            <w:r>
              <w:rPr>
                <w:rFonts w:ascii="仿宋" w:hAnsi="仿宋" w:eastAsia="仿宋"/>
                <w:sz w:val="30"/>
                <w:szCs w:val="30"/>
              </w:rPr>
              <w:t>鹏城岐黄工程优秀人才等</w:t>
            </w:r>
            <w:r>
              <w:rPr>
                <w:rFonts w:hint="eastAsia" w:ascii="仿宋" w:hAnsi="仿宋" w:eastAsia="仿宋"/>
                <w:sz w:val="30"/>
                <w:szCs w:val="30"/>
              </w:rPr>
              <w:t>是否可以不用再考核。</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beforeLines="0" w:afterLines="0" w:line="560" w:lineRule="exact"/>
              <w:ind w:firstLine="560" w:firstLineChars="200"/>
              <w:jc w:val="both"/>
              <w:textAlignment w:val="auto"/>
              <w:rPr>
                <w:rFonts w:hint="eastAsia" w:ascii="仿宋_GB2312" w:hAnsi="仿宋_GB2312" w:eastAsia="仿宋_GB2312" w:cs="仿宋_GB2312"/>
                <w:b w:val="0"/>
                <w:bCs w:val="0"/>
                <w:kern w:val="0"/>
                <w:sz w:val="28"/>
                <w:szCs w:val="28"/>
                <w:lang w:val="en-US" w:eastAsia="zh-CN" w:bidi="ar-SA"/>
              </w:rPr>
            </w:pPr>
          </w:p>
          <w:p>
            <w:pPr>
              <w:keepNext w:val="0"/>
              <w:keepLines w:val="0"/>
              <w:pageBreakBefore w:val="0"/>
              <w:kinsoku/>
              <w:wordWrap/>
              <w:overflowPunct/>
              <w:topLinePunct w:val="0"/>
              <w:autoSpaceDE/>
              <w:autoSpaceDN/>
              <w:bidi w:val="0"/>
              <w:adjustRightInd/>
              <w:snapToGrid/>
              <w:spacing w:beforeLines="0" w:afterLines="0" w:line="560" w:lineRule="exact"/>
              <w:ind w:firstLine="560" w:firstLineChars="200"/>
              <w:jc w:val="both"/>
              <w:textAlignment w:val="auto"/>
              <w:rPr>
                <w:rFonts w:hint="default"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kern w:val="0"/>
                <w:sz w:val="28"/>
                <w:szCs w:val="28"/>
                <w:lang w:val="en-US" w:eastAsia="zh-CN" w:bidi="ar-SA"/>
              </w:rPr>
              <w:t>不采纳</w:t>
            </w:r>
          </w:p>
        </w:tc>
        <w:tc>
          <w:tcPr>
            <w:tcW w:w="3388" w:type="dxa"/>
            <w:tcBorders>
              <w:top w:val="single" w:color="auto" w:sz="4" w:space="0"/>
              <w:left w:val="single" w:color="auto" w:sz="4" w:space="0"/>
              <w:bottom w:val="single" w:color="auto" w:sz="4" w:space="0"/>
              <w:right w:val="single" w:color="auto" w:sz="4" w:space="0"/>
            </w:tcBorders>
          </w:tcPr>
          <w:p>
            <w:pPr>
              <w:pStyle w:val="3"/>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kern w:val="0"/>
                <w:sz w:val="28"/>
                <w:szCs w:val="28"/>
                <w:lang w:val="en-US" w:eastAsia="zh-CN" w:bidi="ar-SA"/>
              </w:rPr>
              <w:t>本办法依据《深圳经济特区医疗条例》《深圳市经济特区中医药条例》制定，相关规定应与上位法规定保持一致。</w:t>
            </w:r>
          </w:p>
        </w:tc>
      </w:tr>
      <w:tr>
        <w:tblPrEx>
          <w:tblCellMar>
            <w:top w:w="0" w:type="dxa"/>
            <w:left w:w="0" w:type="dxa"/>
            <w:bottom w:w="0" w:type="dxa"/>
            <w:right w:w="0" w:type="dxa"/>
          </w:tblCellMar>
        </w:tblPrEx>
        <w:tc>
          <w:tcPr>
            <w:tcW w:w="2048" w:type="dxa"/>
            <w:vMerge w:val="continue"/>
            <w:tcBorders>
              <w:left w:val="single" w:color="000000" w:sz="4" w:space="0"/>
              <w:right w:val="nil"/>
            </w:tcBorders>
            <w:vAlign w:val="top"/>
          </w:tcPr>
          <w:p>
            <w:pPr>
              <w:keepNext w:val="0"/>
              <w:keepLines w:val="0"/>
              <w:pageBreakBefore w:val="0"/>
              <w:kinsoku/>
              <w:wordWrap/>
              <w:overflowPunct/>
              <w:topLinePunct w:val="0"/>
              <w:autoSpaceDE/>
              <w:autoSpaceDN/>
              <w:bidi w:val="0"/>
              <w:adjustRightInd/>
              <w:snapToGrid/>
              <w:spacing w:beforeLines="0" w:afterLines="0" w:line="560" w:lineRule="exact"/>
              <w:ind w:firstLine="560" w:firstLineChars="200"/>
              <w:jc w:val="both"/>
              <w:textAlignment w:val="auto"/>
              <w:rPr>
                <w:rFonts w:hint="eastAsia" w:ascii="仿宋_GB2312" w:hAnsi="仿宋_GB2312" w:eastAsia="仿宋_GB2312" w:cs="仿宋_GB2312"/>
                <w:kern w:val="2"/>
                <w:sz w:val="28"/>
                <w:szCs w:val="28"/>
                <w:lang w:val="en-US" w:eastAsia="zh-CN" w:bidi="ar-SA"/>
              </w:rPr>
            </w:pPr>
          </w:p>
        </w:tc>
        <w:tc>
          <w:tcPr>
            <w:tcW w:w="658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beforeLines="0" w:afterLines="0" w:line="560" w:lineRule="exact"/>
              <w:jc w:val="both"/>
              <w:textAlignment w:val="auto"/>
              <w:rPr>
                <w:rFonts w:hint="eastAsia" w:ascii="仿宋" w:hAnsi="仿宋" w:eastAsia="仿宋"/>
                <w:sz w:val="30"/>
                <w:szCs w:val="30"/>
              </w:rPr>
            </w:pPr>
            <w:r>
              <w:rPr>
                <w:rFonts w:hint="eastAsia" w:ascii="仿宋" w:hAnsi="仿宋" w:eastAsia="仿宋"/>
                <w:sz w:val="30"/>
                <w:szCs w:val="30"/>
              </w:rPr>
              <w:t>部分中医外治法无收费项目。</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beforeLines="0" w:afterLines="0" w:line="560" w:lineRule="exact"/>
              <w:ind w:firstLine="560" w:firstLineChars="200"/>
              <w:jc w:val="both"/>
              <w:textAlignment w:val="auto"/>
              <w:rPr>
                <w:rFonts w:hint="default"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kern w:val="0"/>
                <w:sz w:val="28"/>
                <w:szCs w:val="28"/>
                <w:lang w:val="en-US" w:eastAsia="zh-CN" w:bidi="ar-SA"/>
              </w:rPr>
              <w:t>沟通解释</w:t>
            </w:r>
          </w:p>
        </w:tc>
        <w:tc>
          <w:tcPr>
            <w:tcW w:w="338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kern w:val="0"/>
                <w:sz w:val="28"/>
                <w:szCs w:val="28"/>
                <w:lang w:val="en-US" w:eastAsia="zh-CN" w:bidi="ar-SA"/>
              </w:rPr>
              <w:t>不属于此办法的范畴</w:t>
            </w:r>
          </w:p>
        </w:tc>
      </w:tr>
    </w:tbl>
    <w:p>
      <w:pPr>
        <w:keepNext w:val="0"/>
        <w:keepLines w:val="0"/>
        <w:pageBreakBefore w:val="0"/>
        <w:kinsoku/>
        <w:wordWrap/>
        <w:overflowPunct/>
        <w:topLinePunct w:val="0"/>
        <w:bidi w:val="0"/>
        <w:snapToGrid/>
        <w:spacing w:line="560" w:lineRule="exact"/>
        <w:ind w:firstLine="560" w:firstLineChars="200"/>
        <w:jc w:val="both"/>
        <w:rPr>
          <w:rFonts w:hint="eastAsia" w:ascii="仿宋_GB2312" w:hAnsi="仿宋_GB2312" w:eastAsia="仿宋_GB2312" w:cs="仿宋_GB2312"/>
          <w:sz w:val="28"/>
          <w:szCs w:val="28"/>
        </w:rPr>
      </w:pPr>
    </w:p>
    <w:p>
      <w:pPr>
        <w:rPr>
          <w:color w:val="0000FF"/>
        </w:rPr>
      </w:pPr>
    </w:p>
    <w:sectPr>
      <w:pgSz w:w="16838" w:h="11906" w:orient="landscape"/>
      <w:pgMar w:top="1236" w:right="1440" w:bottom="1576"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Arial Unicode MS">
    <w:altName w:val="DejaVu Sans"/>
    <w:panose1 w:val="020B0604020202020204"/>
    <w:charset w:val="86"/>
    <w:family w:val="swiss"/>
    <w:pitch w:val="default"/>
    <w:sig w:usb0="00000000" w:usb1="00000000" w:usb2="0000003F" w:usb3="00000000" w:csb0="603F01FF" w:csb1="FFFF0000"/>
  </w:font>
  <w:font w:name="方正小标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黑体">
    <w:altName w:val="方正黑体_GBK"/>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00"/>
    <w:family w:val="auto"/>
    <w:pitch w:val="default"/>
    <w:sig w:usb0="00000000" w:usb1="00000000" w:usb2="00000000" w:usb3="00000000" w:csb0="00000000" w:csb1="00000000"/>
  </w:font>
  <w:font w:name="楷体_GB2312">
    <w:altName w:val="方正楷体_GBK"/>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altName w:val="方正小标宋_GBK"/>
    <w:panose1 w:val="00000000000000000000"/>
    <w:charset w:val="00"/>
    <w:family w:val="auto"/>
    <w:pitch w:val="default"/>
    <w:sig w:usb0="00000000" w:usb1="00000000" w:usb2="00000000" w:usb3="00000000" w:csb0="00000000" w:csb1="00000000"/>
  </w:font>
  <w:font w:name="FreeSerif">
    <w:panose1 w:val="02020603050405020304"/>
    <w:charset w:val="00"/>
    <w:family w:val="auto"/>
    <w:pitch w:val="default"/>
    <w:sig w:usb0="E59FAFFF" w:usb1="C200FDFF" w:usb2="43501B29" w:usb3="04000043" w:csb0="6001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hOWJhNzNmZDFlYjM1MmYxOTAzYzRiNTg1MGNhMmYifQ=="/>
  </w:docVars>
  <w:rsids>
    <w:rsidRoot w:val="797F695A"/>
    <w:rsid w:val="00037445"/>
    <w:rsid w:val="000629EB"/>
    <w:rsid w:val="00236556"/>
    <w:rsid w:val="00240288"/>
    <w:rsid w:val="002D5E2A"/>
    <w:rsid w:val="00617B76"/>
    <w:rsid w:val="006D567D"/>
    <w:rsid w:val="00A558DA"/>
    <w:rsid w:val="00AE50AF"/>
    <w:rsid w:val="00BD22E9"/>
    <w:rsid w:val="03910D22"/>
    <w:rsid w:val="08BC6219"/>
    <w:rsid w:val="0AE866BB"/>
    <w:rsid w:val="0CB15C59"/>
    <w:rsid w:val="0D2C3DA0"/>
    <w:rsid w:val="0D992FA4"/>
    <w:rsid w:val="0E9A1382"/>
    <w:rsid w:val="0FA83C3B"/>
    <w:rsid w:val="11652420"/>
    <w:rsid w:val="125066A8"/>
    <w:rsid w:val="188B7B3B"/>
    <w:rsid w:val="18DA6806"/>
    <w:rsid w:val="198E35BF"/>
    <w:rsid w:val="1F2E2027"/>
    <w:rsid w:val="2158155F"/>
    <w:rsid w:val="24112A83"/>
    <w:rsid w:val="25BD65E6"/>
    <w:rsid w:val="29D601F9"/>
    <w:rsid w:val="2B4A5BF7"/>
    <w:rsid w:val="30B50210"/>
    <w:rsid w:val="30D11F98"/>
    <w:rsid w:val="36A03693"/>
    <w:rsid w:val="3BFF64D7"/>
    <w:rsid w:val="3C38195D"/>
    <w:rsid w:val="4218463A"/>
    <w:rsid w:val="422B572C"/>
    <w:rsid w:val="45B35B13"/>
    <w:rsid w:val="45BD1510"/>
    <w:rsid w:val="48F026EA"/>
    <w:rsid w:val="4E18672A"/>
    <w:rsid w:val="50371FE5"/>
    <w:rsid w:val="50990AE8"/>
    <w:rsid w:val="50BF5AF7"/>
    <w:rsid w:val="57B623C2"/>
    <w:rsid w:val="57C913ED"/>
    <w:rsid w:val="593F4AD1"/>
    <w:rsid w:val="5B2026C3"/>
    <w:rsid w:val="5C59760F"/>
    <w:rsid w:val="5ECB3492"/>
    <w:rsid w:val="611253C2"/>
    <w:rsid w:val="64A02AAC"/>
    <w:rsid w:val="65C03BC2"/>
    <w:rsid w:val="691D3EA3"/>
    <w:rsid w:val="6A347EC1"/>
    <w:rsid w:val="6E6E39F9"/>
    <w:rsid w:val="70B723A5"/>
    <w:rsid w:val="74183521"/>
    <w:rsid w:val="7581650B"/>
    <w:rsid w:val="759A0C27"/>
    <w:rsid w:val="773050E8"/>
    <w:rsid w:val="782822CE"/>
    <w:rsid w:val="788908D1"/>
    <w:rsid w:val="797F695A"/>
    <w:rsid w:val="79F86A67"/>
    <w:rsid w:val="7BFD5EE3"/>
    <w:rsid w:val="7FE16F83"/>
    <w:rsid w:val="DAFFC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uto"/>
      <w:ind w:firstLine="420"/>
      <w:textAlignment w:val="baseline"/>
    </w:pPr>
    <w:rPr>
      <w:rFonts w:ascii="Calibri" w:hAnsi="Calibri"/>
      <w:kern w:val="0"/>
      <w:sz w:val="24"/>
    </w:rPr>
  </w:style>
  <w:style w:type="paragraph" w:styleId="3">
    <w:name w:val="Body Text"/>
    <w:basedOn w:val="1"/>
    <w:next w:val="4"/>
    <w:qFormat/>
    <w:uiPriority w:val="0"/>
    <w:pPr>
      <w:spacing w:after="120"/>
    </w:pPr>
  </w:style>
  <w:style w:type="paragraph" w:styleId="4">
    <w:name w:val="Title"/>
    <w:basedOn w:val="1"/>
    <w:next w:val="1"/>
    <w:qFormat/>
    <w:uiPriority w:val="0"/>
    <w:pPr>
      <w:spacing w:before="240" w:after="60"/>
      <w:jc w:val="center"/>
      <w:outlineLvl w:val="0"/>
    </w:pPr>
    <w:rPr>
      <w:rFonts w:ascii="Cambria" w:hAnsi="Cambria"/>
      <w:b/>
      <w:bCs/>
      <w:szCs w:val="32"/>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kern w:val="0"/>
      <w:sz w:val="20"/>
      <w:szCs w:val="20"/>
    </w:rPr>
  </w:style>
  <w:style w:type="character" w:customStyle="1" w:styleId="10">
    <w:name w:val="font31"/>
    <w:basedOn w:val="9"/>
    <w:qFormat/>
    <w:uiPriority w:val="0"/>
    <w:rPr>
      <w:rFonts w:hint="eastAsia" w:ascii="宋体" w:hAnsi="宋体" w:eastAsia="宋体" w:cs="宋体"/>
      <w:color w:val="000000"/>
      <w:sz w:val="24"/>
      <w:szCs w:val="24"/>
      <w:u w:val="none"/>
    </w:rPr>
  </w:style>
  <w:style w:type="character" w:customStyle="1" w:styleId="11">
    <w:name w:val="font11"/>
    <w:basedOn w:val="9"/>
    <w:qFormat/>
    <w:uiPriority w:val="0"/>
    <w:rPr>
      <w:rFonts w:hint="eastAsia" w:ascii="宋体" w:hAnsi="宋体" w:eastAsia="宋体" w:cs="宋体"/>
      <w:b/>
      <w:color w:val="000000"/>
      <w:sz w:val="24"/>
      <w:szCs w:val="24"/>
      <w:u w:val="none"/>
    </w:rPr>
  </w:style>
  <w:style w:type="character" w:customStyle="1" w:styleId="12">
    <w:name w:val="页眉 Char"/>
    <w:basedOn w:val="9"/>
    <w:link w:val="6"/>
    <w:qFormat/>
    <w:uiPriority w:val="0"/>
    <w:rPr>
      <w:rFonts w:ascii="Calibri" w:hAnsi="Calibri"/>
      <w:kern w:val="2"/>
      <w:sz w:val="18"/>
      <w:szCs w:val="18"/>
    </w:rPr>
  </w:style>
  <w:style w:type="character" w:customStyle="1" w:styleId="13">
    <w:name w:val="页脚 Char"/>
    <w:basedOn w:val="9"/>
    <w:link w:val="5"/>
    <w:qFormat/>
    <w:uiPriority w:val="0"/>
    <w:rPr>
      <w:rFonts w:ascii="Calibri" w:hAnsi="Calibri"/>
      <w:kern w:val="2"/>
      <w:sz w:val="18"/>
      <w:szCs w:val="18"/>
    </w:rPr>
  </w:style>
  <w:style w:type="paragraph" w:customStyle="1" w:styleId="14">
    <w:name w:val=" 黑体"/>
    <w:basedOn w:val="1"/>
    <w:uiPriority w:val="0"/>
    <w:rPr>
      <w:rFonts w:hint="eastAsia" w:ascii="黑体" w:hAnsi="黑体" w:eastAsia="黑体" w:cs="黑体"/>
      <w:sz w:val="32"/>
    </w:rPr>
  </w:style>
  <w:style w:type="paragraph" w:customStyle="1" w:styleId="15">
    <w:name w:val=" 仿宋_GB2312"/>
    <w:basedOn w:val="1"/>
    <w:uiPriority w:val="0"/>
    <w:rPr>
      <w:rFonts w:hint="eastAsia" w:ascii="仿宋_GB2312" w:hAnsi="仿宋_GB2312" w:eastAsia="仿宋_GB2312" w:cs="仿宋_GB2312"/>
      <w:sz w:val="32"/>
    </w:rPr>
  </w:style>
  <w:style w:type="paragraph" w:customStyle="1" w:styleId="16">
    <w:name w:val=" 楷体_GB2312"/>
    <w:basedOn w:val="1"/>
    <w:uiPriority w:val="0"/>
    <w:rPr>
      <w:rFonts w:hint="eastAsia" w:ascii="楷体_GB2312" w:hAnsi="楷体_GB2312" w:eastAsia="楷体_GB2312" w:cs="楷体_GB2312"/>
      <w:sz w:val="32"/>
    </w:rPr>
  </w:style>
  <w:style w:type="paragraph" w:customStyle="1" w:styleId="17">
    <w:name w:val=" 方正小标宋简体"/>
    <w:basedOn w:val="1"/>
    <w:uiPriority w:val="0"/>
    <w:rPr>
      <w:rFonts w:hint="eastAsia" w:ascii="方正小标宋简体" w:hAnsi="方正小标宋简体" w:eastAsia="方正小标宋简体" w:cs="方正小标宋简体"/>
      <w:sz w:val="32"/>
    </w:rPr>
  </w:style>
  <w:style w:type="paragraph" w:customStyle="1" w:styleId="18">
    <w:name w:val=" 方正小标宋_GBK"/>
    <w:basedOn w:val="1"/>
    <w:uiPriority w:val="0"/>
    <w:rPr>
      <w:rFonts w:hint="eastAsia" w:ascii="方正小标宋_GBK”" w:hAnsi="方正小标宋_GBK”" w:eastAsia="方正小标宋_GBK”" w:cs="方正小标宋_GBK”"/>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540</Words>
  <Characters>3083</Characters>
  <Lines>25</Lines>
  <Paragraphs>7</Paragraphs>
  <TotalTime>10</TotalTime>
  <ScaleCrop>false</ScaleCrop>
  <LinksUpToDate>false</LinksUpToDate>
  <CharactersWithSpaces>3616</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2019-10-13T01:23:00Z</dcterms:created>
  <dc:creator>李佳芮</dc:creator>
  <cp:lastModifiedBy>门凌</cp:lastModifiedBy>
  <cp:lastPrinted>2023-10-24T08:18:00Z</cp:lastPrinted>
  <dcterms:modified xsi:type="dcterms:W3CDTF">2023-11-10T16:57:46Z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43239D18FAF378D42CE04D653642A8E9</vt:lpwstr>
  </property>
</Properties>
</file>